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05EDF">
      <w:pPr>
        <w:spacing w:before="280" w:after="40"/>
      </w:pPr>
    </w:p>
    <w:tbl>
      <w:tblPr>
        <w:tblStyle w:val="32"/>
        <w:tblW w:w="9072" w:type="dxa"/>
        <w:jc w:val="center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"/>
        <w:gridCol w:w="8812"/>
      </w:tblGrid>
      <w:tr w14:paraId="6FCD609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9" w:type="dxa"/>
            <w:shd w:val="clear" w:color="auto" w:fill="0C3459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60977F"/>
        </w:tc>
        <w:tc>
          <w:tcPr>
            <w:tcW w:w="8812" w:type="dxa"/>
            <w:shd w:val="clear" w:color="auto" w:fill="F7F9FB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8EBF63">
            <w:pPr>
              <w:spacing w:after="160"/>
            </w:pPr>
            <w:r>
              <w:rPr>
                <w:rFonts w:ascii="微软雅黑" w:hAnsi="微软雅黑" w:eastAsia="微软雅黑"/>
                <w:b/>
                <w:color w:val="B2842A"/>
                <w:sz w:val="21"/>
              </w:rPr>
              <w:t>客户评审与报价材料</w:t>
            </w:r>
          </w:p>
          <w:p w14:paraId="7D9C8944">
            <w:pPr>
              <w:spacing w:after="100"/>
            </w:pPr>
            <w:r>
              <w:rPr>
                <w:rFonts w:ascii="微软雅黑" w:hAnsi="微软雅黑" w:eastAsia="微软雅黑"/>
                <w:b/>
                <w:color w:val="0C3459"/>
                <w:sz w:val="51"/>
              </w:rPr>
              <w:t>江苏毅合捷产品主数据项目</w:t>
            </w:r>
          </w:p>
          <w:p w14:paraId="04371781">
            <w:pPr>
              <w:spacing w:after="280"/>
            </w:pPr>
            <w:r>
              <w:rPr>
                <w:rFonts w:ascii="微软雅黑" w:hAnsi="微软雅黑" w:eastAsia="微软雅黑"/>
                <w:b/>
                <w:color w:val="146F63"/>
                <w:sz w:val="31"/>
              </w:rPr>
              <w:t>需求方案与报价结构稿</w:t>
            </w:r>
          </w:p>
          <w:p w14:paraId="3E5CA853">
            <w:pPr>
              <w:spacing w:after="0"/>
            </w:pPr>
            <w:r>
              <w:rPr>
                <w:rFonts w:ascii="微软雅黑" w:hAnsi="微软雅黑" w:eastAsia="微软雅黑"/>
                <w:b/>
                <w:color w:val="606C7B"/>
                <w:sz w:val="18"/>
              </w:rPr>
              <w:t>v0.4A 客户评审+客户沟通版    |    2026-06-2</w:t>
            </w:r>
            <w:r>
              <w:rPr>
                <w:rFonts w:hint="eastAsia"/>
                <w:b/>
                <w:color w:val="606C7B"/>
                <w:sz w:val="18"/>
                <w:lang w:val="en-US" w:eastAsia="zh-CN"/>
              </w:rPr>
              <w:t>3</w:t>
            </w:r>
            <w:r>
              <w:rPr>
                <w:rFonts w:ascii="微软雅黑" w:hAnsi="微软雅黑" w:eastAsia="微软雅黑"/>
                <w:b/>
                <w:color w:val="606C7B"/>
                <w:sz w:val="18"/>
              </w:rPr>
              <w:t xml:space="preserve">    |    产品经理：伊平川    |    客户评审稿</w:t>
            </w:r>
          </w:p>
        </w:tc>
      </w:tr>
    </w:tbl>
    <w:p w14:paraId="5A051089">
      <w:pPr>
        <w:spacing w:after="280"/>
      </w:pPr>
    </w:p>
    <w:p w14:paraId="56D6B8E4">
      <w:pPr>
        <w:spacing w:after="40"/>
      </w:pPr>
    </w:p>
    <w:p w14:paraId="7C1B6AC6">
      <w:pPr>
        <w:spacing w:after="320"/>
      </w:pPr>
    </w:p>
    <w:tbl>
      <w:tblPr>
        <w:tblStyle w:val="32"/>
        <w:tblW w:w="9072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6840"/>
      </w:tblGrid>
      <w:tr w14:paraId="7B710DAC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347F3DB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报价拆分原则</w:t>
            </w:r>
          </w:p>
        </w:tc>
        <w:tc>
          <w:tcPr>
            <w:tcW w:w="6840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AC0BF8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处理方式</w:t>
            </w:r>
          </w:p>
        </w:tc>
      </w:tr>
      <w:tr w14:paraId="1AFE0050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2BF4F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软件平台</w:t>
            </w:r>
          </w:p>
        </w:tc>
        <w:tc>
          <w:tcPr>
            <w:tcW w:w="684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9A9A76A">
            <w:pPr>
              <w:spacing w:after="0" w:line="269" w:lineRule="auto"/>
            </w:pPr>
          </w:p>
        </w:tc>
      </w:tr>
      <w:tr w14:paraId="68387E58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1482B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数据服务</w:t>
            </w:r>
          </w:p>
        </w:tc>
        <w:tc>
          <w:tcPr>
            <w:tcW w:w="684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E2E9FE">
            <w:pPr>
              <w:spacing w:after="0" w:line="269" w:lineRule="auto"/>
            </w:pPr>
          </w:p>
        </w:tc>
      </w:tr>
      <w:tr w14:paraId="14D45EE2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D25BD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接口集成</w:t>
            </w:r>
          </w:p>
        </w:tc>
        <w:tc>
          <w:tcPr>
            <w:tcW w:w="684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0E1D4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按系统、方向、频率、字段、联调责任逐项报价</w:t>
            </w:r>
          </w:p>
        </w:tc>
      </w:tr>
      <w:tr w14:paraId="63BBF4DF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2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E3404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实施交付</w:t>
            </w:r>
          </w:p>
        </w:tc>
        <w:tc>
          <w:tcPr>
            <w:tcW w:w="684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7600CB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调研、蓝图、开发、测试、部署、培训、文档、运维质保分阶段报价</w:t>
            </w:r>
          </w:p>
        </w:tc>
      </w:tr>
    </w:tbl>
    <w:p w14:paraId="21B4C037">
      <w:pPr>
        <w:spacing w:after="60"/>
      </w:pPr>
    </w:p>
    <w:p w14:paraId="1CBFE665">
      <w:r>
        <w:br w:type="page"/>
      </w:r>
    </w:p>
    <w:p w14:paraId="1F5E14B8">
      <w:pPr>
        <w:spacing w:before="200" w:after="20"/>
      </w:pPr>
      <w:r>
        <w:rPr>
          <w:rFonts w:ascii="微软雅黑" w:hAnsi="微软雅黑" w:eastAsia="微软雅黑"/>
          <w:b/>
          <w:color w:val="B2842A"/>
          <w:sz w:val="18"/>
        </w:rPr>
        <w:t>01 / 管理层结论</w:t>
      </w:r>
    </w:p>
    <w:p w14:paraId="3A988473">
      <w:pPr>
        <w:pStyle w:val="3"/>
      </w:pPr>
      <w:r>
        <w:rPr>
          <w:rFonts w:ascii="微软雅黑" w:hAnsi="微软雅黑" w:eastAsia="微软雅黑"/>
          <w:b w:val="0"/>
          <w:color w:val="0E2337"/>
          <w:sz w:val="21"/>
        </w:rPr>
        <w:t>1. 管理层结论</w:t>
      </w:r>
    </w:p>
    <w:tbl>
      <w:tblPr>
        <w:tblStyle w:val="32"/>
        <w:tblW w:w="9144" w:type="dxa"/>
        <w:jc w:val="center"/>
        <w:tblBorders>
          <w:top w:val="single" w:color="C9D5E2" w:sz="6" w:space="0"/>
          <w:left w:val="single" w:color="C9D5E2" w:sz="6" w:space="0"/>
          <w:bottom w:val="single" w:color="C9D5E2" w:sz="6" w:space="0"/>
          <w:right w:val="single" w:color="C9D5E2" w:sz="6" w:space="0"/>
          <w:insideH w:val="single" w:color="C9D5E2" w:sz="6" w:space="0"/>
          <w:insideV w:val="single" w:color="C9D5E2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4"/>
      </w:tblGrid>
      <w:tr w14:paraId="62D3F26A">
        <w:tblPrEx>
          <w:tblBorders>
            <w:top w:val="single" w:color="C9D5E2" w:sz="6" w:space="0"/>
            <w:left w:val="single" w:color="C9D5E2" w:sz="6" w:space="0"/>
            <w:bottom w:val="single" w:color="C9D5E2" w:sz="6" w:space="0"/>
            <w:right w:val="single" w:color="C9D5E2" w:sz="6" w:space="0"/>
            <w:insideH w:val="single" w:color="C9D5E2" w:sz="6" w:space="0"/>
            <w:insideV w:val="single" w:color="C9D5E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4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DB74092">
            <w:pPr>
              <w:spacing w:after="0" w:line="269" w:lineRule="auto"/>
            </w:pPr>
            <w:r>
              <w:rPr>
                <w:rFonts w:ascii="微软雅黑" w:hAnsi="微软雅黑" w:eastAsia="微软雅黑"/>
                <w:b/>
                <w:color w:val="146F63"/>
                <w:sz w:val="20"/>
              </w:rPr>
              <w:t>建议本项目按“产品主数据运营平台 + 数据清洗服务 + 接口集成 + 快速见效工具 + 实施交付”拆分方案和报价。先锁定一期 MVP（第一阶段可验收版本），再把数据服务、第三方费用和系统集成单独列项。</w:t>
            </w:r>
          </w:p>
        </w:tc>
      </w:tr>
    </w:tbl>
    <w:p w14:paraId="09002AB7">
      <w:pPr>
        <w:spacing w:after="40"/>
      </w:pPr>
    </w:p>
    <w:tbl>
      <w:tblPr>
        <w:tblStyle w:val="32"/>
        <w:tblW w:w="9360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5328"/>
        <w:gridCol w:w="2232"/>
      </w:tblGrid>
      <w:tr w14:paraId="07CC13EA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E048D2C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判断项</w:t>
            </w:r>
          </w:p>
        </w:tc>
        <w:tc>
          <w:tcPr>
            <w:tcW w:w="5328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EA2F2A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结论口径</w:t>
            </w:r>
          </w:p>
        </w:tc>
        <w:tc>
          <w:tcPr>
            <w:tcW w:w="2232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E2FB96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报价影响</w:t>
            </w:r>
          </w:p>
        </w:tc>
      </w:tr>
      <w:tr w14:paraId="48961CB4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36B766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项目定位</w:t>
            </w:r>
          </w:p>
        </w:tc>
        <w:tc>
          <w:tcPr>
            <w:tcW w:w="53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92D6E5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面向全球汽车后市场的产品主数据运营平台，不是普通资料库，也不是泛 MDM。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D80CB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按产品域平台报价，不按单表维护工具报价</w:t>
            </w:r>
          </w:p>
        </w:tc>
      </w:tr>
      <w:tr w14:paraId="011625AB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8D195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一期目标</w:t>
            </w:r>
          </w:p>
        </w:tc>
        <w:tc>
          <w:tcPr>
            <w:tcW w:w="53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F6E998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跑通资源库、零件库、商品库、号码/车型/清洗、查询、基础分发、权限日志和核心接口边界。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B4553A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限定 MVP 范围，避免 6 个月承诺全量终态</w:t>
            </w:r>
          </w:p>
        </w:tc>
      </w:tr>
      <w:tr w14:paraId="1F1F7804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350BB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Demo 口径</w:t>
            </w:r>
          </w:p>
        </w:tc>
        <w:tc>
          <w:tcPr>
            <w:tcW w:w="53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EADC8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Demo 证明方法和既有能力，不代表完整生产系统。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218CA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必须列模块成熟度和定制工作量</w:t>
            </w:r>
          </w:p>
        </w:tc>
      </w:tr>
      <w:tr w14:paraId="0F61536B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B20AF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数据能力</w:t>
            </w:r>
          </w:p>
        </w:tc>
        <w:tc>
          <w:tcPr>
            <w:tcW w:w="53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2EE7DF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历史数据清洗和车型/号码补全需样本验证后报价。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D38D0D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100 条脱敏样本验证作为前置</w:t>
            </w:r>
          </w:p>
        </w:tc>
      </w:tr>
      <w:tr w14:paraId="076DDD89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E466E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接口边界</w:t>
            </w:r>
          </w:p>
        </w:tc>
        <w:tc>
          <w:tcPr>
            <w:tcW w:w="53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37FA94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宜配承建产品域应用直接对接，非宜配系统统一走 MDM。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7689A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接口按对象逐项报价</w:t>
            </w:r>
          </w:p>
        </w:tc>
      </w:tr>
    </w:tbl>
    <w:p w14:paraId="0B3DEA77">
      <w:pPr>
        <w:spacing w:after="60"/>
      </w:pPr>
    </w:p>
    <w:p w14:paraId="08DBBB07">
      <w:pPr>
        <w:spacing w:before="200" w:after="20"/>
      </w:pPr>
      <w:r>
        <w:rPr>
          <w:rFonts w:ascii="微软雅黑" w:hAnsi="微软雅黑" w:eastAsia="微软雅黑"/>
          <w:b/>
          <w:color w:val="B2842A"/>
          <w:sz w:val="18"/>
        </w:rPr>
        <w:t>02 / 客户需求整理</w:t>
      </w:r>
    </w:p>
    <w:p w14:paraId="461E662D">
      <w:pPr>
        <w:pStyle w:val="3"/>
      </w:pPr>
      <w:r>
        <w:rPr>
          <w:rFonts w:ascii="微软雅黑" w:hAnsi="微软雅黑" w:eastAsia="微软雅黑"/>
          <w:b w:val="0"/>
          <w:color w:val="0E2337"/>
          <w:sz w:val="21"/>
        </w:rPr>
        <w:t>2. 客户需求整理</w:t>
      </w:r>
    </w:p>
    <w:tbl>
      <w:tblPr>
        <w:tblStyle w:val="32"/>
        <w:tblW w:w="9360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3671"/>
        <w:gridCol w:w="1655"/>
        <w:gridCol w:w="2376"/>
      </w:tblGrid>
      <w:tr w14:paraId="3BAEFBDB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5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282648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需求域</w:t>
            </w:r>
          </w:p>
        </w:tc>
        <w:tc>
          <w:tcPr>
            <w:tcW w:w="3671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58480F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客户需求/业务诉求</w:t>
            </w:r>
          </w:p>
        </w:tc>
        <w:tc>
          <w:tcPr>
            <w:tcW w:w="1655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6BC84B3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证据来源</w:t>
            </w:r>
          </w:p>
        </w:tc>
        <w:tc>
          <w:tcPr>
            <w:tcW w:w="2376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C49D74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方案处理</w:t>
            </w:r>
          </w:p>
        </w:tc>
      </w:tr>
      <w:tr w14:paraId="68EB2AF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5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DBCE4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产品基础库</w:t>
            </w:r>
          </w:p>
        </w:tc>
        <w:tc>
          <w:tcPr>
            <w:tcW w:w="3671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73775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需要标准零件分类、公共参数、参数继承、零件库/商品库关联、细颗粒查询和导出。</w:t>
            </w:r>
          </w:p>
        </w:tc>
        <w:tc>
          <w:tcPr>
            <w:tcW w:w="165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09ACE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+ 会议口述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070D95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纳入软件平台定制开发范围</w:t>
            </w:r>
          </w:p>
        </w:tc>
      </w:tr>
      <w:tr w14:paraId="61354D94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5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FD8E9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零件库/商品库</w:t>
            </w:r>
          </w:p>
        </w:tc>
        <w:tc>
          <w:tcPr>
            <w:tcW w:w="3671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3DE1E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零件库维护中性标准技术数据；商品库继承零件并承载品牌、客户、事业部和发布差异。</w:t>
            </w:r>
          </w:p>
        </w:tc>
        <w:tc>
          <w:tcPr>
            <w:tcW w:w="165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81BEC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会议口述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F148A2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作为三库模型核心</w:t>
            </w:r>
          </w:p>
        </w:tc>
      </w:tr>
      <w:tr w14:paraId="612F8636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5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F851E2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号码/车型</w:t>
            </w:r>
          </w:p>
        </w:tc>
        <w:tc>
          <w:tcPr>
            <w:tcW w:w="3671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5A17E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互换号码、OE、竞品号、客户号、车型库均需待进入/正式/虚删除流程和清洗联动。</w:t>
            </w:r>
          </w:p>
        </w:tc>
        <w:tc>
          <w:tcPr>
            <w:tcW w:w="165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5C45E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号码对照说明 + SOW</w:t>
            </w:r>
          </w:p>
        </w:tc>
        <w:tc>
          <w:tcPr>
            <w:tcW w:w="237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FBB06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纳入数据治理和清洗流程</w:t>
            </w:r>
          </w:p>
        </w:tc>
      </w:tr>
      <w:tr w14:paraId="7676B059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5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6392F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编码/BOM</w:t>
            </w:r>
          </w:p>
        </w:tc>
        <w:tc>
          <w:tcPr>
            <w:tcW w:w="3671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E46DED5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JR 号、三段码、四段码、EBOM/MBOM/SBOM、销售 BOM、包装 BOM 和整机替代需建模。</w:t>
            </w:r>
          </w:p>
        </w:tc>
        <w:tc>
          <w:tcPr>
            <w:tcW w:w="165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8F903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53719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作为专门模型确认项</w:t>
            </w:r>
          </w:p>
        </w:tc>
      </w:tr>
      <w:tr w14:paraId="5D428F2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5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4F685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产品匹配工作台</w:t>
            </w:r>
          </w:p>
        </w:tc>
        <w:tc>
          <w:tcPr>
            <w:tcW w:w="3671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B51D6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产品部需要快速识别客户问的是什么产品，支持多种号码输入和历史询问复用。</w:t>
            </w:r>
          </w:p>
        </w:tc>
        <w:tc>
          <w:tcPr>
            <w:tcW w:w="165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96314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陈总/会议口述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62FFE7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独立快速见效项</w:t>
            </w:r>
          </w:p>
        </w:tc>
      </w:tr>
      <w:tr w14:paraId="69777450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5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D997D4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图片/目录/样品</w:t>
            </w:r>
          </w:p>
        </w:tc>
        <w:tc>
          <w:tcPr>
            <w:tcW w:w="3671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E85F4F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图片分组、拍照任务、图纸授权、样品防重复申请、目录标准化输出。</w:t>
            </w:r>
          </w:p>
        </w:tc>
        <w:tc>
          <w:tcPr>
            <w:tcW w:w="165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6DB642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+ 会议口述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3C84F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按业务应用模块报价</w:t>
            </w:r>
          </w:p>
        </w:tc>
      </w:tr>
      <w:tr w14:paraId="4263FE23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5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70D2C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系统集成</w:t>
            </w:r>
          </w:p>
        </w:tc>
        <w:tc>
          <w:tcPr>
            <w:tcW w:w="3671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6BB6FB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产品相关由宜配完成对接，其他统一和 MDM 对接。</w:t>
            </w:r>
          </w:p>
        </w:tc>
        <w:tc>
          <w:tcPr>
            <w:tcW w:w="165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40DF5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最新边界确认</w:t>
            </w:r>
          </w:p>
        </w:tc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50FAE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接口清单逐项报价</w:t>
            </w:r>
          </w:p>
        </w:tc>
      </w:tr>
      <w:tr w14:paraId="1F43AD69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5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CD323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权限/安全/BI</w:t>
            </w:r>
          </w:p>
        </w:tc>
        <w:tc>
          <w:tcPr>
            <w:tcW w:w="3671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3CBF1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权限要到字段/附件/日志级，BI 报表需区分产品数据和销售数据来源。</w:t>
            </w:r>
          </w:p>
        </w:tc>
        <w:tc>
          <w:tcPr>
            <w:tcW w:w="165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03083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+ 用户补充</w:t>
            </w:r>
          </w:p>
        </w:tc>
        <w:tc>
          <w:tcPr>
            <w:tcW w:w="237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BEE30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纳入平台安全和报表模块</w:t>
            </w:r>
          </w:p>
        </w:tc>
      </w:tr>
    </w:tbl>
    <w:p w14:paraId="49912132">
      <w:pPr>
        <w:spacing w:after="60"/>
      </w:pPr>
    </w:p>
    <w:p w14:paraId="07AB12EC">
      <w:pPr>
        <w:spacing w:before="200" w:after="20"/>
      </w:pPr>
      <w:r>
        <w:rPr>
          <w:rFonts w:ascii="微软雅黑" w:hAnsi="微软雅黑" w:eastAsia="微软雅黑"/>
          <w:b/>
          <w:color w:val="B2842A"/>
          <w:sz w:val="18"/>
        </w:rPr>
        <w:t>03 / 乙方方案总览</w:t>
      </w:r>
    </w:p>
    <w:p w14:paraId="423418B7">
      <w:pPr>
        <w:pStyle w:val="3"/>
      </w:pPr>
      <w:r>
        <w:rPr>
          <w:rFonts w:ascii="微软雅黑" w:hAnsi="微软雅黑" w:eastAsia="微软雅黑"/>
          <w:b w:val="0"/>
          <w:color w:val="0E2337"/>
          <w:sz w:val="21"/>
        </w:rPr>
        <w:t>3. 乙方方案总览</w:t>
      </w:r>
    </w:p>
    <w:p w14:paraId="6EA4A25C">
      <w:pPr>
        <w:keepNext/>
        <w:spacing w:after="60"/>
        <w:jc w:val="center"/>
      </w:pPr>
      <w:r>
        <w:rPr>
          <w:rFonts w:ascii="微软雅黑" w:hAnsi="微软雅黑" w:eastAsia="微软雅黑"/>
          <w:b/>
          <w:color w:val="146F63"/>
          <w:sz w:val="19"/>
        </w:rPr>
        <w:t>图：方案总览与产品域能力边界</w:t>
      </w:r>
    </w:p>
    <w:p w14:paraId="6F4692B8">
      <w:pPr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44820" cy="3234690"/>
            <wp:effectExtent l="0" t="0" r="17780" b="381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44820" cy="3234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AE84F0">
      <w:pPr>
        <w:jc w:val="center"/>
      </w:pPr>
      <w:r>
        <w:rPr>
          <w:color w:val="5A6978"/>
          <w:sz w:val="18"/>
        </w:rPr>
        <w:t>（见 附件 图03-方案总览与产品域能力边界.png）</w:t>
      </w:r>
    </w:p>
    <w:p w14:paraId="2876A48E">
      <w:pPr>
        <w:spacing w:after="40"/>
      </w:pPr>
    </w:p>
    <w:p w14:paraId="5B4B2EC4">
      <w:pPr>
        <w:keepNext/>
        <w:spacing w:after="60"/>
        <w:jc w:val="center"/>
      </w:pPr>
      <w:r>
        <w:rPr>
          <w:rFonts w:ascii="微软雅黑" w:hAnsi="微软雅黑" w:eastAsia="微软雅黑"/>
          <w:b/>
          <w:color w:val="146F63"/>
          <w:sz w:val="19"/>
        </w:rPr>
        <w:t>图：三库模型与数据流</w:t>
      </w:r>
    </w:p>
    <w:p w14:paraId="2ECACD50">
      <w:pPr>
        <w:jc w:val="center"/>
        <w:rPr>
          <w:rFonts w:hint="default"/>
          <w:lang w:val="en-US"/>
        </w:rPr>
      </w:pPr>
      <w:r>
        <w:drawing>
          <wp:inline distT="0" distB="0" distL="114300" distR="114300">
            <wp:extent cx="6339840" cy="3566160"/>
            <wp:effectExtent l="0" t="0" r="3810" b="1524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D42DC">
      <w:pPr>
        <w:jc w:val="center"/>
      </w:pPr>
      <w:r>
        <w:rPr>
          <w:color w:val="5A6978"/>
          <w:sz w:val="18"/>
        </w:rPr>
        <w:t>（见 附件 图03-三库模型与数据流.png）</w:t>
      </w:r>
    </w:p>
    <w:p w14:paraId="7DEB427C">
      <w:pPr>
        <w:spacing w:after="40"/>
      </w:pPr>
    </w:p>
    <w:p w14:paraId="47F07BD4">
      <w:pPr>
        <w:pStyle w:val="4"/>
      </w:pPr>
      <w:r>
        <w:rPr>
          <w:rFonts w:ascii="微软雅黑" w:hAnsi="微软雅黑" w:eastAsia="微软雅黑"/>
          <w:b/>
          <w:color w:val="0C3459"/>
        </w:rPr>
        <w:t>3.1 系统对接边界</w:t>
      </w:r>
    </w:p>
    <w:p w14:paraId="5C894C94">
      <w:pPr>
        <w:keepNext/>
        <w:spacing w:after="60"/>
        <w:jc w:val="center"/>
      </w:pPr>
      <w:r>
        <w:rPr>
          <w:rFonts w:ascii="微软雅黑" w:hAnsi="微软雅黑" w:eastAsia="微软雅黑"/>
          <w:b/>
          <w:color w:val="146F63"/>
          <w:sz w:val="19"/>
        </w:rPr>
        <w:t>图：系统对接边界</w:t>
      </w:r>
    </w:p>
    <w:p w14:paraId="5B8DB31C">
      <w:pPr>
        <w:jc w:val="center"/>
      </w:pPr>
      <w:r>
        <w:drawing>
          <wp:inline distT="0" distB="0" distL="114300" distR="114300">
            <wp:extent cx="5760720" cy="3240405"/>
            <wp:effectExtent l="0" t="0" r="11430" b="171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827C9">
      <w:pPr>
        <w:jc w:val="center"/>
      </w:pPr>
      <w:r>
        <w:rPr>
          <w:color w:val="5A6978"/>
          <w:sz w:val="18"/>
        </w:rPr>
        <w:t>（见 附件 图03-系统对接边界.png）</w:t>
      </w:r>
    </w:p>
    <w:p w14:paraId="067A8BDA">
      <w:pPr>
        <w:spacing w:after="40"/>
      </w:pPr>
    </w:p>
    <w:p w14:paraId="00E114C7">
      <w:pPr>
        <w:spacing w:before="200" w:after="20"/>
      </w:pPr>
      <w:r>
        <w:rPr>
          <w:rFonts w:ascii="微软雅黑" w:hAnsi="微软雅黑" w:eastAsia="微软雅黑"/>
          <w:b/>
          <w:color w:val="B2842A"/>
          <w:sz w:val="18"/>
        </w:rPr>
        <w:t>04 / 模块明细</w:t>
      </w:r>
    </w:p>
    <w:p w14:paraId="78726164">
      <w:pPr>
        <w:pStyle w:val="3"/>
      </w:pPr>
      <w:r>
        <w:rPr>
          <w:rFonts w:ascii="微软雅黑" w:hAnsi="微软雅黑" w:eastAsia="微软雅黑"/>
          <w:b w:val="0"/>
          <w:color w:val="0E2337"/>
          <w:sz w:val="21"/>
        </w:rPr>
        <w:t>4. 模块明细与报价归属</w:t>
      </w:r>
    </w:p>
    <w:tbl>
      <w:tblPr>
        <w:tblStyle w:val="32"/>
        <w:tblW w:w="9648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512"/>
        <w:gridCol w:w="3456"/>
        <w:gridCol w:w="1296"/>
        <w:gridCol w:w="1584"/>
      </w:tblGrid>
      <w:tr w14:paraId="6C3601EA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55DFF9B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模块</w:t>
            </w:r>
          </w:p>
        </w:tc>
        <w:tc>
          <w:tcPr>
            <w:tcW w:w="1512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77C3ED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来源</w:t>
            </w:r>
          </w:p>
        </w:tc>
        <w:tc>
          <w:tcPr>
            <w:tcW w:w="3456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515278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乙方响应范围</w:t>
            </w:r>
          </w:p>
        </w:tc>
        <w:tc>
          <w:tcPr>
            <w:tcW w:w="1296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C42A8E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报价归属</w:t>
            </w:r>
          </w:p>
        </w:tc>
        <w:tc>
          <w:tcPr>
            <w:tcW w:w="1584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ADA7ED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验收口径</w:t>
            </w:r>
          </w:p>
        </w:tc>
      </w:tr>
      <w:tr w14:paraId="5B4F566E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374B3C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数据治理与基础配置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0DEBD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S-02/M-04，客户文档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1B442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分类、参数、标准字段、字典、质量规则、发布控制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BF1BD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4276C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分类/参数样例可维护，规则可配置，导出可验证</w:t>
            </w:r>
          </w:p>
        </w:tc>
      </w:tr>
      <w:tr w14:paraId="42679EC2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39073B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资源库管理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0BEFF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6月2日录音，平川补充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31A68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供应商资源、竞品资源、第三方资料、宜配API资源入口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43DA4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平台定制开发（数据资源服务另计）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CB7DA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资源可导入、查询、转清洗、留来源</w:t>
            </w:r>
          </w:p>
        </w:tc>
      </w:tr>
      <w:tr w14:paraId="0D9B4241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1DBD65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零件库管理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1EAFBD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6月2日录音，SOW A-01/A-04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A06CE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中性技术零件、号码、车型、参数、图纸、附件、三库流程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73FB91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118A9B2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样例零件可建模、可查询、可追溯</w:t>
            </w:r>
          </w:p>
        </w:tc>
      </w:tr>
      <w:tr w14:paraId="1C4DB60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C7CFE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商品库管理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F7C32B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6月2日录音，6月16日录音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03861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商品继承零件，品牌/客户/事业部/市场差异，客户专属号强隔离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9E7369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9BF7F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商品可批量创建，客户号隔离生效</w:t>
            </w:r>
          </w:p>
        </w:tc>
      </w:tr>
      <w:tr w14:paraId="4B386D2B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F90FB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毅合捷编码与BOM模型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679EF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M-01至M-06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558E0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JR号、三段码、四段码、EBOM/MBOM/SBOM、销售BOM、包装BOM、替代关系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1405B9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C3C74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编码权威源、关系模型、例外规则经客户确认</w:t>
            </w:r>
          </w:p>
        </w:tc>
      </w:tr>
      <w:tr w14:paraId="02675FB2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58ADF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车型与适配管理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FA7F0F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A-01至A-05，6月2日录音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18ACD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欧洲/北美/中国车型库，车型三库流程，车型ID交叉验证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8BC3E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平台定制开发（外部数据服务另计）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0530B2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OE/车型/竞品号可追溯到产品</w:t>
            </w:r>
          </w:p>
        </w:tc>
      </w:tr>
      <w:tr w14:paraId="5EC2790E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B76D2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号码清洗与老数据补全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8997E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D-05，6月2日录音，平川补充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DD3F1C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新数据入库、老数据清洗、互相对照、各自对照、竞品交叉清洗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8D3917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数据治理与清洗服务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ED56E8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输出覆盖率、匹配率、冲突率、错误样例、人工确认比例</w:t>
            </w:r>
          </w:p>
        </w:tc>
      </w:tr>
      <w:tr w14:paraId="35708BA1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101250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产品质量评分与完整度治理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5CDAA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D-01/R-01，平川补充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394A6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完整度评分、质量评分、不完整反查、定时治理推荐、补全任务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0156B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B9761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低完整度产品可反查并形成任务</w:t>
            </w:r>
          </w:p>
        </w:tc>
      </w:tr>
      <w:tr w14:paraId="63EC8C6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D3941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产品匹配工作台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85EEA0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6月16日产品匹配工作台需求，SOW B-01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1C5E0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多格式输入、自动锁定、资源匹配、人工确认、历史复用</w:t>
            </w:r>
          </w:p>
        </w:tc>
        <w:tc>
          <w:tcPr>
            <w:tcW w:w="129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C2AF2D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133EA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三个典型询价场景可闭环处理</w:t>
            </w:r>
          </w:p>
        </w:tc>
      </w:tr>
      <w:tr w14:paraId="130D947D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CD67B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图片、图纸与附件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9ED97C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B-03，6月16日录音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DB7EDE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图片分组、拍照需求、图片任务、水印/尺寸模板、图纸授权、附件</w:t>
            </w:r>
          </w:p>
        </w:tc>
        <w:tc>
          <w:tcPr>
            <w:tcW w:w="129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BA50C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平台定制开发（第三方费用另计）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0D398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图片按组管理，图纸权限可控制，样例可输出</w:t>
            </w:r>
          </w:p>
        </w:tc>
      </w:tr>
      <w:tr w14:paraId="0D6C4ABB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CE031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样品管理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1AECE8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6月16日录音，6月2日录音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6E952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样品前置、样品申请、防重复申请、PLM/OA边界、样品转零件/商品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BC170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D9AF40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样品申请前可反查已有产品和历史样品</w:t>
            </w:r>
          </w:p>
        </w:tc>
      </w:tr>
      <w:tr w14:paraId="265C9F63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671EA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目录 PDF/官网/下单平台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7548F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B-04，平川补充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DA7C7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目录模板、产品筛选、发布版本、官网/独立站/下单平台按承建范围直连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9AEC3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平台定制开发/独立模块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CAAB3C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可按模板输出样例目录或产品展示数据</w:t>
            </w:r>
          </w:p>
        </w:tc>
      </w:tr>
      <w:tr w14:paraId="37C380D6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A01E9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系统对接、消息与运维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84209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I-01至I-07，平川最新边界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E27D3D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宜配承建应用直连；非宜配系统走MDM；接口日志、重发、飞书/邮件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8524E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平台定制开发（非宜配系统经 MDM 对接）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CCF4D1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接口联调通过，失败可定位、可重发</w:t>
            </w:r>
          </w:p>
        </w:tc>
      </w:tr>
      <w:tr w14:paraId="3D78FBCA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1D522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BI看板与统计报表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0E67C2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R-01，平川补充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14FCB2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质量、查询、流程、清洗、图片、询价统计；销售轻分析依赖MDM/ERP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2B6F1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平台定制开发（销售数据依赖 MDM/ERP）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40B78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报表口径明确，数据来源可追溯</w:t>
            </w:r>
          </w:p>
        </w:tc>
      </w:tr>
      <w:tr w14:paraId="4AC23A13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E931E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细粒度权限与审计安全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A1D1A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SOW R-02/R-03，平川补充</w:t>
            </w:r>
          </w:p>
        </w:tc>
        <w:tc>
          <w:tcPr>
            <w:tcW w:w="345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EE9FF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功能、角色、按钮、附件、接口、日志、导出、水印、必要脱敏</w:t>
            </w:r>
          </w:p>
        </w:tc>
        <w:tc>
          <w:tcPr>
            <w:tcW w:w="129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31A73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平台定制开发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F7B3F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5"/>
              </w:rPr>
              <w:t>客户号、图纸、敏感字段、导出权限可隔离</w:t>
            </w:r>
          </w:p>
        </w:tc>
      </w:tr>
    </w:tbl>
    <w:p w14:paraId="31A3CFEA">
      <w:pPr>
        <w:spacing w:after="60"/>
      </w:pPr>
    </w:p>
    <w:p w14:paraId="470004B2">
      <w:pPr>
        <w:pStyle w:val="4"/>
      </w:pPr>
      <w:r>
        <w:rPr>
          <w:rFonts w:ascii="微软雅黑" w:hAnsi="微软雅黑" w:eastAsia="微软雅黑"/>
          <w:b w:val="0"/>
          <w:color w:val="0E2337"/>
          <w:sz w:val="21"/>
        </w:rPr>
        <w:t>4.1 核心需求展开</w:t>
      </w:r>
    </w:p>
    <w:p w14:paraId="7E93D7D1">
      <w:pPr>
        <w:spacing w:before="60" w:after="100" w:line="269" w:lineRule="auto"/>
      </w:pPr>
      <w:r>
        <w:rPr>
          <w:rFonts w:ascii="微软雅黑" w:hAnsi="微软雅黑" w:eastAsia="微软雅黑"/>
          <w:b w:val="0"/>
          <w:color w:val="1D344A"/>
          <w:sz w:val="17"/>
        </w:rPr>
        <w:t>本节把一期需要讲清楚的业务对象、流程规则和交付边界先展开说明。报价上仍按整体平台建设合并呈现，避免商务沟通过细；需求上保留足够颗粒度，便于客户确认范围，也便于后续蓝图、原型、接口清单和验收材料逐项落地。以下内容用于客户评审和蓝图调研，最终字段、页面和接口以双方确认版本为准。</w:t>
      </w:r>
    </w:p>
    <w:p w14:paraId="7F710F7A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8"/>
        </w:rPr>
        <w:t>图 4-1 三库模型与产品主数据主线</w:t>
      </w:r>
    </w:p>
    <w:p w14:paraId="1CEF39E9">
      <w:pPr>
        <w:jc w:val="center"/>
        <w:rPr>
          <w:rFonts w:hint="default"/>
          <w:lang w:val="en-US"/>
        </w:rPr>
      </w:pPr>
      <w:r>
        <w:drawing>
          <wp:inline distT="0" distB="0" distL="114300" distR="114300">
            <wp:extent cx="6339840" cy="3566160"/>
            <wp:effectExtent l="0" t="0" r="3810" b="1524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F4E9202">
      <w:pPr>
        <w:jc w:val="center"/>
      </w:pPr>
      <w:r>
        <w:rPr>
          <w:color w:val="5A6978"/>
          <w:sz w:val="18"/>
        </w:rPr>
        <w:t>（见 附件 图4-1-三库模型与产品数据主线.png）</w:t>
      </w:r>
    </w:p>
    <w:p w14:paraId="45E8BE7E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4.1.1 基础分类、标准名称与公共参数</w:t>
      </w:r>
    </w:p>
    <w:p w14:paraId="73786F87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需要先确认毅合捷当前零件分类是沿用现有分类、重建标准分类，还是在现有分类上做映射层。若分类口径不稳定，后面的参数继承、目录输出、搜索筛选和报关字段都会反复返工。</w:t>
      </w:r>
    </w:p>
    <w:p w14:paraId="47BC1CA3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页面建议：</w:t>
      </w:r>
      <w:r>
        <w:rPr>
          <w:rFonts w:ascii="微软雅黑" w:hAnsi="微软雅黑" w:eastAsia="微软雅黑"/>
          <w:b w:val="0"/>
          <w:color w:val="1D344A"/>
          <w:sz w:val="16"/>
        </w:rPr>
        <w:t>分类维护页应支持树形维护、启停状态、排序、编码、标准中文名、标准英文名、别名、适用市场和备注；参数模板页应支持字段类型、单位、是否必填、是否对外、是否参与导出和是否参与质量评分。</w:t>
      </w:r>
    </w:p>
    <w:p w14:paraId="2D23853F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规则细节：</w:t>
      </w:r>
      <w:r>
        <w:rPr>
          <w:rFonts w:ascii="微软雅黑" w:hAnsi="微软雅黑" w:eastAsia="微软雅黑"/>
          <w:b w:val="0"/>
          <w:color w:val="1D344A"/>
          <w:sz w:val="16"/>
        </w:rPr>
        <w:t>公共参数建议放在分类层维护，零件库继承后允许局部修正；分类变更要有影响范围提示，例如会影响哪些零件、商品、目录模板和接口字段。</w:t>
      </w:r>
    </w:p>
    <w:p w14:paraId="0991B3B0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</w:t>
      </w:r>
      <w:r>
        <w:rPr>
          <w:rFonts w:ascii="微软雅黑" w:hAnsi="微软雅黑" w:eastAsia="微软雅黑"/>
          <w:b w:val="0"/>
          <w:color w:val="1D344A"/>
          <w:sz w:val="16"/>
        </w:rPr>
        <w:t>抽取若干典型品类，验证新增零件能自动带出公共参数，参数能按对内/对外控制展示，导出模板能按客户确认的字段组合输出。</w:t>
      </w:r>
    </w:p>
    <w:p w14:paraId="05F2DE97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4.1.2 资源库与外部数据资源</w:t>
      </w:r>
    </w:p>
    <w:p w14:paraId="67A86178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资源库不是正式业务库，更多是“资料池”和“候选关系池”。供应商随意表格、专业整理表、竞品目录、第三方采买数据和宜配数据资源，应先明确来源、可信度和是否允许进入正式业务流程。</w:t>
      </w:r>
    </w:p>
    <w:p w14:paraId="1EBD3DC6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页面建议：</w:t>
      </w:r>
      <w:r>
        <w:rPr>
          <w:rFonts w:ascii="微软雅黑" w:hAnsi="微软雅黑" w:eastAsia="微软雅黑"/>
          <w:b w:val="0"/>
          <w:color w:val="1D344A"/>
          <w:sz w:val="16"/>
        </w:rPr>
        <w:t>资源导入页应记录来源、文件、品牌、地区、供应商、上传人、上传日期和解析状态；资源查询页应支持按号码、品牌、车型、OE、供应商和来源组合查询。</w:t>
      </w:r>
    </w:p>
    <w:p w14:paraId="12025F39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处理边界：</w:t>
      </w:r>
      <w:r>
        <w:rPr>
          <w:rFonts w:ascii="微软雅黑" w:hAnsi="微软雅黑" w:eastAsia="微软雅黑"/>
          <w:b w:val="0"/>
          <w:color w:val="1D344A"/>
          <w:sz w:val="16"/>
        </w:rPr>
        <w:t>低成本方式以表格导入和人工字段映射为主；如果客户希望直接识别 PDF、图片目录或非结构化 Excel，需要作为增强能力确认识别准确率、人工复核比例和第三方服务费用。</w:t>
      </w:r>
    </w:p>
    <w:p w14:paraId="05DA0305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</w:t>
      </w:r>
      <w:r>
        <w:rPr>
          <w:rFonts w:ascii="微软雅黑" w:hAnsi="微软雅黑" w:eastAsia="微软雅黑"/>
          <w:b w:val="0"/>
          <w:color w:val="1D344A"/>
          <w:sz w:val="16"/>
        </w:rPr>
        <w:t>用供应商表格、竞品目录和宜配数据资源各选一组样本，验证可导入、可检索、可标记候选关系，并能输出进入待确认库的清单。</w:t>
      </w:r>
    </w:p>
    <w:p w14:paraId="48D74CDE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4.1.3 零件库、号码与车型适配</w:t>
      </w:r>
    </w:p>
    <w:p w14:paraId="69A23388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零件库要先保持中性，不能把销售口径提前塞进去。号码、OE、车型、图纸、参数、附件都应围绕“这个零件是什么”来组织，品牌、客户、渠道和发布版本放到商品库处理。</w:t>
      </w:r>
    </w:p>
    <w:p w14:paraId="4BA11182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页面建议：</w:t>
      </w:r>
      <w:r>
        <w:rPr>
          <w:rFonts w:ascii="微软雅黑" w:hAnsi="微软雅黑" w:eastAsia="微软雅黑"/>
          <w:b w:val="0"/>
          <w:color w:val="1D344A"/>
          <w:sz w:val="16"/>
        </w:rPr>
        <w:t>零件详情页应把互换号、OE号、车型适配、参数、图纸附件、图片、来源记录和变更日志分区展示；查询页要支持精确号码、多号码、车型、OE、品牌和来源联合查询。</w:t>
      </w:r>
    </w:p>
    <w:p w14:paraId="7C79EBC8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流程细节：</w:t>
      </w:r>
      <w:r>
        <w:rPr>
          <w:rFonts w:ascii="微软雅黑" w:hAnsi="微软雅黑" w:eastAsia="微软雅黑"/>
          <w:b w:val="0"/>
          <w:color w:val="1D344A"/>
          <w:sz w:val="16"/>
        </w:rPr>
        <w:t>号码和车型都需要待进入库、正式库、虚删除库三段流程。虚删除不是物理删除，而是保留核验和追溯，避免后续同一批数据反复进入清洗流程。</w:t>
      </w:r>
    </w:p>
    <w:p w14:paraId="793A8755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</w:t>
      </w:r>
      <w:r>
        <w:rPr>
          <w:rFonts w:ascii="微软雅黑" w:hAnsi="微软雅黑" w:eastAsia="微软雅黑"/>
          <w:b w:val="0"/>
          <w:color w:val="1D344A"/>
          <w:sz w:val="16"/>
        </w:rPr>
        <w:t>用一组号码完成从待进入库到正式库的流转，验证正式库可查、虚删除可追溯、待确认记录可分配给产品人员处理。</w:t>
      </w:r>
    </w:p>
    <w:p w14:paraId="48033EEC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4.1.4 商品库、继承关系与发布版本</w:t>
      </w:r>
    </w:p>
    <w:p w14:paraId="24FB2E02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商品库承接销售对象，必须能说明为什么同一个零件会生成多个商品，例如不同品牌、客户、事业部、市场、包装、客户专属号或发布版本不同。</w:t>
      </w:r>
    </w:p>
    <w:p w14:paraId="13DBA6B3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页面建议：</w:t>
      </w:r>
      <w:r>
        <w:rPr>
          <w:rFonts w:ascii="微软雅黑" w:hAnsi="微软雅黑" w:eastAsia="微软雅黑"/>
          <w:b w:val="0"/>
          <w:color w:val="1D344A"/>
          <w:sz w:val="16"/>
        </w:rPr>
        <w:t>商品详情页应展示继承自零件库的技术数据，同时清楚标识哪些字段是商品自有字段，哪些字段来自零件库继承，哪些字段被商品侧隐藏或覆盖。</w:t>
      </w:r>
    </w:p>
    <w:p w14:paraId="4D1D29DA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分发规则：</w:t>
      </w:r>
      <w:r>
        <w:rPr>
          <w:rFonts w:ascii="微软雅黑" w:hAnsi="微软雅黑" w:eastAsia="微软雅黑"/>
          <w:b w:val="0"/>
          <w:color w:val="1D344A"/>
          <w:sz w:val="16"/>
        </w:rPr>
        <w:t>商品发布要有版本、发布日期、目录版本、对外字段范围和客户/市场范围。客户专属号码只能在本客户范围查询和分发，不能污染公共商品数据。</w:t>
      </w:r>
    </w:p>
    <w:p w14:paraId="76BCC350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</w:t>
      </w:r>
      <w:r>
        <w:rPr>
          <w:rFonts w:ascii="微软雅黑" w:hAnsi="微软雅黑" w:eastAsia="微软雅黑"/>
          <w:b w:val="0"/>
          <w:color w:val="1D344A"/>
          <w:sz w:val="16"/>
        </w:rPr>
        <w:t>从一个零件批量生成两个不同商品，验证继承关系、差异字段、客户专属号、发布版本和导出结果都能解释清楚。</w:t>
      </w:r>
    </w:p>
    <w:p w14:paraId="2EC59E0E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4.1.5 编码、BOM、包装与替代关系</w:t>
      </w:r>
    </w:p>
    <w:p w14:paraId="0970530E">
      <w:pPr>
        <w:spacing w:before="30" w:after="64" w:line="278" w:lineRule="auto"/>
        <w:ind w:left="23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编码和 BOM 不能只写“支持 BOM”。毅合捷的 JR 配件号、三段码、四段码、EBOM、MBOM、SBOM、销售 BOM、包装 BOM 和零件 BOM 头，</w:t>
      </w:r>
      <w:r>
        <w:rPr>
          <w:rFonts w:hint="eastAsia"/>
          <w:b w:val="0"/>
          <w:color w:val="FF0000"/>
          <w:sz w:val="16"/>
          <w:lang w:val="en-US" w:eastAsia="zh-CN"/>
        </w:rPr>
        <w:t>需要客户确认数据源头如何对接</w:t>
      </w:r>
    </w:p>
    <w:p w14:paraId="276337E9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页面建议：</w:t>
      </w:r>
      <w:r>
        <w:rPr>
          <w:rFonts w:ascii="微软雅黑" w:hAnsi="微软雅黑" w:eastAsia="微软雅黑"/>
          <w:b w:val="0"/>
          <w:color w:val="1D344A"/>
          <w:sz w:val="16"/>
        </w:rPr>
        <w:t>编码关系页应展示内部号、外部号、图号、料号、JR 配件号、客户号、供应商号之间的来源和用途；BOM 页应能区分真实生产结构、销售组合结构和包装结构。</w:t>
      </w:r>
    </w:p>
    <w:p w14:paraId="17CB3630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包装细节：</w:t>
      </w:r>
      <w:r>
        <w:rPr>
          <w:rFonts w:ascii="微软雅黑" w:hAnsi="微软雅黑" w:eastAsia="微软雅黑"/>
          <w:b w:val="0"/>
          <w:color w:val="1D344A"/>
          <w:sz w:val="16"/>
        </w:rPr>
        <w:t>包装 BOM 建议作为标准 BOM 独立维护，商品选择包装虚件后自动带出包装尺寸、重量、体积估算和组合关系，减少重复录入。</w:t>
      </w:r>
    </w:p>
    <w:p w14:paraId="40760958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替代场景：</w:t>
      </w:r>
      <w:r>
        <w:rPr>
          <w:rFonts w:ascii="微软雅黑" w:hAnsi="微软雅黑" w:eastAsia="微软雅黑"/>
          <w:b w:val="0"/>
          <w:color w:val="1D344A"/>
          <w:sz w:val="16"/>
        </w:rPr>
        <w:t>整机替代、取消 BOM 层级关系、销售 BOM 打标和手工调整必须保留修改日志，不能只做成普通编辑功能。</w:t>
      </w:r>
    </w:p>
    <w:p w14:paraId="278D50EE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</w:t>
      </w:r>
      <w:r>
        <w:rPr>
          <w:rFonts w:ascii="微软雅黑" w:hAnsi="微软雅黑" w:eastAsia="微软雅黑"/>
          <w:b w:val="0"/>
          <w:color w:val="1D344A"/>
          <w:sz w:val="16"/>
        </w:rPr>
        <w:t>选取一个产品样本，验证图号/料号分离、编码关系、销售 BOM、包装 BOM、替代关系和修改日志可以串起来。</w:t>
      </w:r>
    </w:p>
    <w:p w14:paraId="639068A5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4.1.6 图片、图纸、附件与目录素材</w:t>
      </w:r>
    </w:p>
    <w:p w14:paraId="0C37AFF7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图片、图纸和附件要分清“内部使用、授权使用、可对外发布”。特别是图纸，不能只当附件上传，必须带版本、来源、授权和下载控制。</w:t>
      </w:r>
    </w:p>
    <w:p w14:paraId="1DA2C106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页面建议：图片管理页应支持自定义分组、自定义标签、尺寸、用途、是否对外、是否目录图、排序、授权状态和版本记录；拍照任务页可按业务需求、样品/库存状态和目录输出计划生成任务，不预设固定图片分类。</w:t>
      </w:r>
    </w:p>
    <w:p w14:paraId="657C6D97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执行边界：</w:t>
      </w:r>
      <w:r>
        <w:rPr>
          <w:rFonts w:ascii="微软雅黑" w:hAnsi="微软雅黑" w:eastAsia="微软雅黑"/>
          <w:b w:val="0"/>
          <w:color w:val="1D344A"/>
          <w:sz w:val="16"/>
        </w:rPr>
        <w:t>若客户接受手机拍照，需要确认移动端范围；若只接受相机拍照和人工命名导入，一期工作量会低一些。在线编辑图片、AI抠图和复杂精修不应默认包含在基础范围内。</w:t>
      </w:r>
    </w:p>
    <w:p w14:paraId="429F2AC6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目录素材：目录 PDF、官网、独立站和下单平台使用的素材字段应保持一致，避免同一张图片在多个出口反复维护。</w:t>
      </w:r>
    </w:p>
    <w:p w14:paraId="41157909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验收看点：上传一组原始图片、处理后图片和目录图片，验证自定义分组、用途标记、尺寸处理、授权控制、导出路径和目录引用关系。</w:t>
      </w:r>
    </w:p>
    <w:p w14:paraId="3F7F7A68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4.1.7 数据清洗、质量评分与治理闭环</w:t>
      </w:r>
    </w:p>
    <w:p w14:paraId="4899A3B2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8"/>
        </w:rPr>
        <w:t>图 4-2 数据清洗与入库流转</w:t>
      </w:r>
    </w:p>
    <w:p w14:paraId="1F9AF019">
      <w:pPr>
        <w:spacing w:before="80" w:after="140"/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6334125" cy="3550920"/>
            <wp:effectExtent l="0" t="0" r="9525" b="11430"/>
            <wp:docPr id="9" name="图片 9" descr="图4-2-数据清洗与入库流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4-2-数据清洗与入库流转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22B8B">
      <w:pPr>
        <w:jc w:val="center"/>
      </w:pPr>
      <w:r>
        <w:rPr>
          <w:color w:val="5A6978"/>
          <w:sz w:val="18"/>
        </w:rPr>
        <w:t>（见 附件 图4-2-数据清洗与入库流转.png）</w:t>
      </w:r>
    </w:p>
    <w:p w14:paraId="4E07A97B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数据清洗要拆成两件事：新数据入库规则和老数据验证/大批量清洗可行性。老数据体量、质量和来源不清时，不能在未验证前承诺全量清洗工作量。</w:t>
      </w:r>
    </w:p>
    <w:p w14:paraId="35E26099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页面建议：</w:t>
      </w:r>
      <w:r>
        <w:rPr>
          <w:rFonts w:ascii="微软雅黑" w:hAnsi="微软雅黑" w:eastAsia="微软雅黑"/>
          <w:b w:val="0"/>
          <w:color w:val="1D344A"/>
          <w:sz w:val="16"/>
        </w:rPr>
        <w:t>质量看板应展示完整度、冲突率、待确认数量、异常数量、人工确认比例和治理任务；异常清单应能追溯来源、规则命中、处理人、处理意见和最终状态。</w:t>
      </w:r>
    </w:p>
    <w:p w14:paraId="457EC56E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规则细节：</w:t>
      </w:r>
      <w:r>
        <w:rPr>
          <w:rFonts w:ascii="微软雅黑" w:hAnsi="微软雅黑" w:eastAsia="微软雅黑"/>
          <w:b w:val="0"/>
          <w:color w:val="1D344A"/>
          <w:sz w:val="16"/>
        </w:rPr>
        <w:t>号码清洗至少覆盖大品牌各自对照、品牌之间互相对照、大数据互相对照、竞品交叉清洗和客户确认规则。共同 OE 只能做辅助背景，不应单独作为互相对照成立条件。</w:t>
      </w:r>
    </w:p>
    <w:p w14:paraId="1172C00D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评分机制：</w:t>
      </w:r>
      <w:r>
        <w:rPr>
          <w:rFonts w:ascii="微软雅黑" w:hAnsi="微软雅黑" w:eastAsia="微软雅黑"/>
          <w:b w:val="0"/>
          <w:color w:val="1D344A"/>
          <w:sz w:val="16"/>
        </w:rPr>
        <w:t>产品评分和完整度评分要能反查缺失项，系统定期生成治理推荐，例如缺图片、缺车型、缺 OE、缺包装、参数不完整或号码冲突。</w:t>
      </w:r>
    </w:p>
    <w:p w14:paraId="76B20912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</w:t>
      </w:r>
      <w:r>
        <w:rPr>
          <w:rFonts w:ascii="微软雅黑" w:hAnsi="微软雅黑" w:eastAsia="微软雅黑"/>
          <w:b w:val="0"/>
          <w:color w:val="1D344A"/>
          <w:sz w:val="16"/>
        </w:rPr>
        <w:t>以 100 条脱敏样本输出覆盖率、匹配率、冲突率、错误样例和人工确认比例；老数据大批量清洗只输出可行性评估和后续报价依据。</w:t>
      </w:r>
    </w:p>
    <w:p w14:paraId="76C4A3FA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4.1.8 产品匹配工作台</w:t>
      </w:r>
    </w:p>
    <w:p w14:paraId="0F9DEA3E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8"/>
        </w:rPr>
        <w:t>图 4-3 产品匹配工作台流程</w:t>
      </w:r>
    </w:p>
    <w:p w14:paraId="08E59452">
      <w:pPr>
        <w:spacing w:before="80" w:after="140"/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6337935" cy="3674745"/>
            <wp:effectExtent l="0" t="0" r="5715" b="1905"/>
            <wp:docPr id="8" name="图片 8" descr="图4-3-产品匹配工作台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4-3-产品匹配工作台流程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37935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B60A8">
      <w:pPr>
        <w:jc w:val="center"/>
      </w:pPr>
      <w:r>
        <w:rPr>
          <w:color w:val="5A6978"/>
          <w:sz w:val="18"/>
        </w:rPr>
        <w:t>（见 附件 图4-3-产品匹配工作台流程.png）</w:t>
      </w:r>
    </w:p>
    <w:p w14:paraId="369DC03B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产品匹配工作台的定位是提高产品部识别效率，不是一期完整自动报价引擎。它先解决“问的是什么产品、对应哪个零件或商品、是否已有历史答复”。</w:t>
      </w:r>
    </w:p>
    <w:p w14:paraId="72A2F42C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页面建议：</w:t>
      </w:r>
      <w:r>
        <w:rPr>
          <w:rFonts w:ascii="微软雅黑" w:hAnsi="微软雅黑" w:eastAsia="微软雅黑"/>
          <w:b w:val="0"/>
          <w:color w:val="1D344A"/>
          <w:sz w:val="16"/>
        </w:rPr>
        <w:t>输入区应支持粘贴多行、多列、混合号码和图片说明；结果区应分为自动锁定、候选匹配、历史问询、资源扩展和人工确认。</w:t>
      </w:r>
    </w:p>
    <w:p w14:paraId="53E1D21F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过程管理：</w:t>
      </w:r>
      <w:r>
        <w:rPr>
          <w:rFonts w:ascii="微软雅黑" w:hAnsi="微软雅黑" w:eastAsia="微软雅黑"/>
          <w:b w:val="0"/>
          <w:color w:val="1D344A"/>
          <w:sz w:val="16"/>
        </w:rPr>
        <w:t>无法唯一锁定时，需要支持分发给产品专员确认，确认后沉淀到待确认库或正式关系库，后续同类问题不再重复人工判断。</w:t>
      </w:r>
    </w:p>
    <w:p w14:paraId="57531D9C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报表价值：</w:t>
      </w:r>
      <w:r>
        <w:rPr>
          <w:rFonts w:ascii="微软雅黑" w:hAnsi="微软雅黑" w:eastAsia="微软雅黑"/>
          <w:b w:val="0"/>
          <w:color w:val="1D344A"/>
          <w:sz w:val="16"/>
        </w:rPr>
        <w:t>工作台应能统计问询量、自动命中率、人工确认量、未确认量、重复问询、客户常问产品和资源库覆盖情况，便于产品部优化基础数据。</w:t>
      </w:r>
    </w:p>
    <w:p w14:paraId="010DC661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</w:t>
      </w:r>
      <w:r>
        <w:rPr>
          <w:rFonts w:ascii="微软雅黑" w:hAnsi="微软雅黑" w:eastAsia="微软雅黑"/>
          <w:b w:val="0"/>
          <w:color w:val="1D344A"/>
          <w:sz w:val="16"/>
        </w:rPr>
        <w:t>用名称+车型+图片、单号、多号、混合表格和历史问询各跑一遍，验证系统能给出自动结果或进入人工确认闭环。</w:t>
      </w:r>
    </w:p>
    <w:p w14:paraId="6CE1BE5D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4.1.9 样品、目录、官网与下单平台</w:t>
      </w:r>
    </w:p>
    <w:p w14:paraId="2AF103CB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样品、目录、官网和下单平台都依赖商品库的发布数据，但业务目标不同。样品重点防重复和补全数据，目录重点版式输出，官网和下单平台重点查询、展示和对外分发。</w:t>
      </w:r>
    </w:p>
    <w:p w14:paraId="6A8AF179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样品管理：</w:t>
      </w:r>
      <w:r>
        <w:rPr>
          <w:rFonts w:ascii="微软雅黑" w:hAnsi="微软雅黑" w:eastAsia="微软雅黑"/>
          <w:b w:val="0"/>
          <w:color w:val="1D344A"/>
          <w:sz w:val="16"/>
        </w:rPr>
        <w:t>样品申请前应先检查是否已有样品、是否已有同类零件或商品、是否缺少关键数据；申请后需要记录申请人、用途、状态、处理人和防重复判断。</w:t>
      </w:r>
    </w:p>
    <w:p w14:paraId="78DE7251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目录输出：</w:t>
      </w:r>
      <w:r>
        <w:rPr>
          <w:rFonts w:ascii="微软雅黑" w:hAnsi="微软雅黑" w:eastAsia="微软雅黑"/>
          <w:b w:val="0"/>
          <w:color w:val="1D344A"/>
          <w:sz w:val="16"/>
        </w:rPr>
        <w:t>目录模板要按品牌、地区、产品范围和发布版本管理。不同市场输出字段、图片分组、语言和排序可能不同，不能只做一个固定 PDF。</w:t>
      </w:r>
    </w:p>
    <w:p w14:paraId="7E93A312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平台边界：</w:t>
      </w:r>
      <w:r>
        <w:rPr>
          <w:rFonts w:ascii="微软雅黑" w:hAnsi="微软雅黑" w:eastAsia="微软雅黑"/>
          <w:b w:val="0"/>
          <w:color w:val="1D344A"/>
          <w:sz w:val="16"/>
        </w:rPr>
        <w:t>官网、独立站和下单平台如果由宜配承建，可作为产品域应用直接对接；如果由客户或第三方建设，宜配侧输出标准产品数据和接口即可。</w:t>
      </w:r>
    </w:p>
    <w:p w14:paraId="165D3004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</w:t>
      </w:r>
      <w:r>
        <w:rPr>
          <w:rFonts w:ascii="微软雅黑" w:hAnsi="微软雅黑" w:eastAsia="微软雅黑"/>
          <w:b w:val="0"/>
          <w:color w:val="1D344A"/>
          <w:sz w:val="16"/>
        </w:rPr>
        <w:t>验证样品防重复申请、目录模板输出、发布版本记录、官网/下单平台数据边界和移动端单品查询。</w:t>
      </w:r>
    </w:p>
    <w:p w14:paraId="14D7F1CD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9"/>
        </w:rPr>
        <w:t>4.1.10 系统对接、BI、消息、权限与安全</w:t>
      </w:r>
    </w:p>
    <w:p w14:paraId="25083337">
      <w:pPr>
        <w:pStyle w:val="5"/>
        <w:spacing w:before="60" w:after="100" w:line="269" w:lineRule="auto"/>
      </w:pPr>
      <w:r>
        <w:rPr>
          <w:rFonts w:ascii="微软雅黑" w:hAnsi="微软雅黑" w:eastAsia="微软雅黑"/>
          <w:b/>
          <w:color w:val="0C3459"/>
          <w:sz w:val="18"/>
        </w:rPr>
        <w:t>图 4-4 产品域系统对接边界</w:t>
      </w:r>
    </w:p>
    <w:p w14:paraId="2202C38D">
      <w:pPr>
        <w:jc w:val="center"/>
      </w:pPr>
      <w:r>
        <w:drawing>
          <wp:inline distT="0" distB="0" distL="114300" distR="114300">
            <wp:extent cx="5760720" cy="3240405"/>
            <wp:effectExtent l="0" t="0" r="11430" b="171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4DDA9">
      <w:pPr>
        <w:jc w:val="center"/>
      </w:pPr>
      <w:r>
        <w:rPr>
          <w:color w:val="5A6978"/>
          <w:sz w:val="18"/>
        </w:rPr>
        <w:t>（见 附件 图4-4-产品域系统对接边界.png）</w:t>
      </w:r>
    </w:p>
    <w:p w14:paraId="40B3F4A6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客户确认点：</w:t>
      </w:r>
      <w:r>
        <w:rPr>
          <w:rFonts w:ascii="微软雅黑" w:hAnsi="微软雅黑" w:eastAsia="微软雅黑"/>
          <w:b w:val="0"/>
          <w:color w:val="1D344A"/>
          <w:sz w:val="16"/>
        </w:rPr>
        <w:t>最新边界应写清楚：宜配负责产品域能力，产品相关数据可统一给 MDM；非宜配系统原则上由 MDM 或客户系统负责人对接，避免接口责任失控。</w:t>
      </w:r>
    </w:p>
    <w:p w14:paraId="599650B0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接口清单：</w:t>
      </w:r>
      <w:r>
        <w:rPr>
          <w:rFonts w:ascii="微软雅黑" w:hAnsi="微软雅黑" w:eastAsia="微软雅黑"/>
          <w:b w:val="0"/>
          <w:color w:val="1D344A"/>
          <w:sz w:val="16"/>
        </w:rPr>
        <w:t>至少要确认系统名称、接口方向、字段范围、同步频率、触发方式、失败重试、日志留存、鉴权方式和责任人。PLM、ERP、MES、WMS、CRM、OA 不应一句话打包。</w:t>
      </w:r>
    </w:p>
    <w:p w14:paraId="289D1A2E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BI 报表：</w:t>
      </w:r>
      <w:r>
        <w:rPr>
          <w:rFonts w:ascii="微软雅黑" w:hAnsi="微软雅黑" w:eastAsia="微软雅黑"/>
          <w:b w:val="0"/>
          <w:color w:val="1D344A"/>
          <w:sz w:val="16"/>
        </w:rPr>
        <w:t>产品域报表可覆盖质量、查询、流程、清洗、图片、产品匹配和目录发布。若涉及销售经营数据，需要 MDM 或 ERP 提供数据源，并单独确认接口和报表开发成本。</w:t>
      </w:r>
    </w:p>
    <w:p w14:paraId="5DD22B92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消息通知：一期保留客户明确要求的邮件通知和飞书通知，用于关键流程提醒、异常提醒和任务待办提醒；不扩展为完整消息规则引擎。复杂消息规则、审批流消息编排、多渠道订阅、模板中心、定时推送和消息统计分析另行确认范围与报价。</w:t>
      </w:r>
    </w:p>
    <w:p w14:paraId="68CE7E6D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权限与安全：一期以角色权限、功能权限、按钮权限、附件授权、导出控制、基础操作日志、导出日志、接口日志、必要水印/脱敏为主。全局细粒度数据权限、不可删除日志、专项通信加密不纳入一期基础范围；如客户后续提出专项安全或审计要求，再按具体场景单独确认范围与报价。</w:t>
      </w:r>
    </w:p>
    <w:p w14:paraId="52DF5AE6">
      <w:pPr>
        <w:spacing w:before="30" w:after="64" w:line="278" w:lineRule="auto"/>
        <w:ind w:left="230"/>
      </w:pPr>
      <w:r>
        <w:rPr>
          <w:rFonts w:ascii="微软雅黑" w:hAnsi="微软雅黑" w:eastAsia="微软雅黑"/>
          <w:b/>
          <w:color w:val="0C3459"/>
          <w:sz w:val="17"/>
        </w:rPr>
        <w:t>验收看点：形成接口清单、BI 报表清单，以及一期邮件/飞书通知场景清单；权限与日志按基础角色验证、导出控制和操作日志样例验收，不承诺完整细粒度权限清单、全量脱敏样例或复杂消息规则引擎。</w:t>
      </w:r>
    </w:p>
    <w:tbl>
      <w:tblPr>
        <w:tblStyle w:val="32"/>
        <w:tblW w:w="9360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6192"/>
        <w:gridCol w:w="1368"/>
      </w:tblGrid>
      <w:tr w14:paraId="320236FC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5A9DAA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主题</w:t>
            </w:r>
          </w:p>
        </w:tc>
        <w:tc>
          <w:tcPr>
            <w:tcW w:w="6192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755F1D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需要写入方案的专业口径</w:t>
            </w:r>
          </w:p>
        </w:tc>
        <w:tc>
          <w:tcPr>
            <w:tcW w:w="1368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D34D3A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来源</w:t>
            </w:r>
          </w:p>
        </w:tc>
      </w:tr>
      <w:tr w14:paraId="7C97E5D3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F603A2D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产品基础库管理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FFE44D2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标准零件分类、公共参数继承、参数内外部标识、参数示意图、零件库/商品库关联对照、批量查询、常用导出模板。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9D84E7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主数据治理 + 6月会议口述</w:t>
            </w:r>
          </w:p>
        </w:tc>
      </w:tr>
      <w:tr w14:paraId="7DC05076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D7413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零件库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1AAB75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互换号码、车型、图纸、附件、图片、竞品价格、真实 BOM/销售 BOM/包装 BOM、虚件与组合带出，按待进入库/正式库/虚删除库流转。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5ED1F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6月会议口述 + SOW BOM</w:t>
            </w:r>
          </w:p>
        </w:tc>
      </w:tr>
      <w:tr w14:paraId="259883C3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027D7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商品库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DD14E5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继承零件库技术数据，支持品牌、客户、事业部、客户专属号、市场专属、被合并、发布版本、标签与下游分发规则。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291FA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6月会议口述</w:t>
            </w:r>
          </w:p>
        </w:tc>
      </w:tr>
      <w:tr w14:paraId="6C19FECE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2451A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车型库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431F6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欧洲/北美/中国/其他地区扩展框架，按待进入车型库、正式车型库、虚删除车型库治理，支持规则入库和人工确认。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B878DC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车型适配 + 会议补充</w:t>
            </w:r>
          </w:p>
        </w:tc>
      </w:tr>
      <w:tr w14:paraId="5C3AD9BD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D42909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产品匹配工作台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EA27D7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兼容名称+车型+图片、单号、多行、多列、单元格多号、历史询问复用；自动锁定产品/零件，无法锁定时进入人工确认。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61EDA02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陈总产品匹配诉求 + 产品部产品识别与匹配痛点</w:t>
            </w:r>
          </w:p>
        </w:tc>
      </w:tr>
      <w:tr w14:paraId="33AD3CD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2B876A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资源库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E86F2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供应商随意库、供应商专业库、竞品目录、北美资源、宜配 API 资源、小众国际品牌目录；支持低成本表格化与高阶智能识别两种路线。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19B314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会议口述</w:t>
            </w:r>
          </w:p>
        </w:tc>
      </w:tr>
      <w:tr w14:paraId="4ECA6FE3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B41AB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数据清洗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254D0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区分新数据入库清洗与老数据清洗补全；输出覆盖率、匹配率、冲突率、错误样例、人工确认比例，并衔接待确认库。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739D9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陈总口径 + 号码对照说明</w:t>
            </w:r>
          </w:p>
        </w:tc>
      </w:tr>
      <w:tr w14:paraId="1D03F828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DBBE8D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编码与 BOM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3089D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JR 配件号、销售 BOM 头、三段码、四段码、EBOM、MBOM、SBOM、包装 BOM、整机替代、层级取消与修改日志。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B8B1B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编码/BOM</w:t>
            </w:r>
          </w:p>
        </w:tc>
      </w:tr>
      <w:tr w14:paraId="33D6A38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D4399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图号/料号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025A6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图号作为技术图纸标识，料号作为物料管理标识；内号、外号、客户号分层管理，避免互相替代。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8C1D35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+ 用户补充</w:t>
            </w:r>
          </w:p>
        </w:tc>
      </w:tr>
      <w:tr w14:paraId="2DBDD03A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85251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生命周期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9BC83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创建、变更、废止、升级、版本对比、审批、下游同步通知；商品状态与 PLM/ERP 状态边界需确认。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ECF865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生命周期</w:t>
            </w:r>
          </w:p>
        </w:tc>
      </w:tr>
      <w:tr w14:paraId="2D9593E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5E632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质量与查询沉淀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DD147F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产品评分、完整度、异常反查、定时治理推荐、精准查询、模糊查询控制、查询日志、历史结果复用。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17A1E1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质量规则 + 用户补充</w:t>
            </w:r>
          </w:p>
        </w:tc>
      </w:tr>
      <w:tr w14:paraId="0838F5AD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5AAF91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权限安全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F237F8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功能、角色、按钮、附件、接口、导出、水印、必要脱敏和基础日志，支持客户号与敏感信息隔离。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B6971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SOW 权限安全</w:t>
            </w:r>
          </w:p>
        </w:tc>
      </w:tr>
      <w:tr w14:paraId="76A306BA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507372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接口边界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DC807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宜配承建或负责的产品域应用由产品中台直接对接；非宜配建设或非产品域系统统一走 MDM。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D830D4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最新边界确认</w:t>
            </w:r>
          </w:p>
        </w:tc>
      </w:tr>
      <w:tr w14:paraId="6BE0162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4F578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样品管理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F3338F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样品数据补全、清洗、防重复样品申请、样品申请流转，PLM/OA 边界待调研确认。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0C2826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会议口述</w:t>
            </w:r>
          </w:p>
        </w:tc>
      </w:tr>
      <w:tr w14:paraId="15F413E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DFD34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目录/独立站/下单平台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057EB1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目录 PDF 按品牌、地区、产品快速输出；独立站与下单平台拆开报价，按承建范围直接对接。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C65DAB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会议口述 + SOW 输出</w:t>
            </w:r>
          </w:p>
        </w:tc>
      </w:tr>
      <w:tr w14:paraId="60F16609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24565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BI 与报表</w:t>
            </w:r>
          </w:p>
        </w:tc>
        <w:tc>
          <w:tcPr>
            <w:tcW w:w="619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D3F6AD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产品质量、查询、流程、清洗、图片、询价统计；销售相关报表依赖 MDM/ERP 数据接口并单独计入成本。</w:t>
            </w:r>
          </w:p>
        </w:tc>
        <w:tc>
          <w:tcPr>
            <w:tcW w:w="136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F90D54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7"/>
              </w:rPr>
              <w:t>用户补充</w:t>
            </w:r>
          </w:p>
        </w:tc>
      </w:tr>
    </w:tbl>
    <w:p w14:paraId="5164B5D5">
      <w:pPr>
        <w:spacing w:after="60"/>
      </w:pPr>
    </w:p>
    <w:p w14:paraId="3A2A5228">
      <w:pPr>
        <w:pStyle w:val="4"/>
        <w:pageBreakBefore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4.2 关键对象模型与字段设计</w:t>
      </w:r>
    </w:p>
    <w:p w14:paraId="739D4A7F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设计目的：</w:t>
      </w:r>
      <w:r>
        <w:rPr>
          <w:rFonts w:ascii="微软雅黑" w:hAnsi="微软雅黑" w:eastAsia="微软雅黑"/>
          <w:color w:val="1D344A"/>
          <w:sz w:val="16"/>
        </w:rPr>
        <w:t>本项目不是单表维护，而是把资料来源、零件技术标准、商品销售差异和对外分发口径统一到一套对象模型中。客户后续无论查号码、查车型、出目录、同步 MDM，底层都应指向同一条主数据链路。</w:t>
      </w:r>
    </w:p>
    <w:p w14:paraId="173EB1CA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建模原则：</w:t>
      </w:r>
      <w:r>
        <w:rPr>
          <w:rFonts w:ascii="微软雅黑" w:hAnsi="微软雅黑" w:eastAsia="微软雅黑"/>
          <w:color w:val="1D344A"/>
          <w:sz w:val="16"/>
        </w:rPr>
        <w:t>供应库保存来源和候选关系，零件库保存中性技术事实，商品库保存可销售对象和差异化发布信息。能继承的字段不重复维护，需要覆盖的字段必须记录覆盖原因、覆盖范围和生效版本。</w:t>
      </w:r>
    </w:p>
    <w:p w14:paraId="37E39C5D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验收方式：</w:t>
      </w:r>
      <w:r>
        <w:rPr>
          <w:rFonts w:ascii="微软雅黑" w:hAnsi="微软雅黑" w:eastAsia="微软雅黑"/>
          <w:color w:val="1D344A"/>
          <w:sz w:val="16"/>
        </w:rPr>
        <w:t>蓝图阶段输出对象关系图、字段清单、字段来源、维护角色、是否必填、是否对外、是否参与质量评分和是否参与接口同步。开发阶段按样本数据验证字段能落地到页面、导入、查询、导出和接口。</w:t>
      </w:r>
    </w:p>
    <w:p w14:paraId="11E5BBE8">
      <w:pPr>
        <w:pStyle w:val="5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8"/>
        </w:rPr>
        <w:t>图 4-5 对象模型与主数据关系</w:t>
      </w:r>
    </w:p>
    <w:p w14:paraId="196CF2A6">
      <w:pPr>
        <w:spacing w:before="80" w:after="140"/>
        <w:jc w:val="center"/>
      </w:pPr>
      <w:r>
        <w:drawing>
          <wp:inline distT="0" distB="0" distL="114300" distR="114300">
            <wp:extent cx="5989320" cy="3312160"/>
            <wp:effectExtent l="0" t="0" r="1143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31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EA904">
      <w:pPr>
        <w:jc w:val="center"/>
      </w:pPr>
      <w:r>
        <w:rPr>
          <w:color w:val="5A6978"/>
          <w:sz w:val="18"/>
        </w:rPr>
        <w:t>（见 附件 图4-5-对象模型与主数据关系.png）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3"/>
        <w:gridCol w:w="2594"/>
        <w:gridCol w:w="2523"/>
        <w:gridCol w:w="2544"/>
      </w:tblGrid>
      <w:tr w14:paraId="39DF5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186DF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对象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81D9B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核心字段/关系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5CDD2A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维护规则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92929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验收关注点</w:t>
            </w:r>
          </w:p>
        </w:tc>
      </w:tr>
      <w:tr w14:paraId="3BE7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99AD57B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资源记录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03E7A5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来源、地区、品牌、供应商、文件、上传人、解析状态、候选号码/车型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EE03B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不直接等同正式库，先作为资料池和候选关系池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EFEBA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可导入、可检索、可追溯来源</w:t>
            </w:r>
          </w:p>
        </w:tc>
      </w:tr>
      <w:tr w14:paraId="22528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EF54FE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零件主数据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468B0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分类、标准名称、参数、OE/互换号、车型、图纸、附件、质量评分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E54D8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保持中性技术对象，不放客户、渠道和销售发布属性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0E79A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同一零件只维护一次，商品侧继承</w:t>
            </w:r>
          </w:p>
        </w:tc>
      </w:tr>
      <w:tr w14:paraId="5687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E043D2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商品主数据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0EA2C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品牌、客户、事业部、市场、客户号、发布状态、发布版本、差异字段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CB852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继承零件技术数据，按销售场景做覆盖和隐藏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121E9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同一零件可生成多个商品且差异可解释</w:t>
            </w:r>
          </w:p>
        </w:tc>
      </w:tr>
      <w:tr w14:paraId="21A66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F224DA0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号码关系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7E1F7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号码厂商、号码、号码类型、OE品牌、主号、来源、状态、操作人、日期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31F770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待进入库、正式库、虚删除库分段流转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6E4BA6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号码查询、互换判断和历史留痕可验证</w:t>
            </w:r>
          </w:p>
        </w:tc>
      </w:tr>
      <w:tr w14:paraId="0A09F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BDFCD0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车型适配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A0344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区域、车型库、车型ID、发动机/版本、年份、来源、置信度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78C86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国际/北美/中国/其他地区框架可扩展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ACDAD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车型适配能进入待确认和正式库</w:t>
            </w:r>
          </w:p>
        </w:tc>
      </w:tr>
      <w:tr w14:paraId="46464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40D948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BOM/包装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21EB7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真实BOM、销售BOM、包装BOM、虚件、替代关系、修改日志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62AA7C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区分生产结构、销售组合和包装结构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9328A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销售BOM和包装尺寸自动带出可验证</w:t>
            </w:r>
          </w:p>
        </w:tc>
      </w:tr>
      <w:tr w14:paraId="7BEAD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566E8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图片/图纸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3BD0A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图片分组、用途、尺寸、版本、授权、图纸来源、附件类型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B2364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图区分内部、授权、对外；图纸必须有版本与授权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4E54A7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目录图、对外图和图纸下载权限可控</w:t>
            </w:r>
          </w:p>
        </w:tc>
      </w:tr>
      <w:tr w14:paraId="265A5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1917D2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发布版本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23678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发布日期、目录版本、客户/市场范围、字段范围、发布人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8CF9F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发布不是简单导出，应保留版本记录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745ADA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可回溯某次目录或接口发布内容</w:t>
            </w:r>
          </w:p>
        </w:tc>
      </w:tr>
    </w:tbl>
    <w:p w14:paraId="1630B591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4.3 状态流转、审批与日志设计</w:t>
      </w:r>
    </w:p>
    <w:p w14:paraId="172484D0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设计目的：</w:t>
      </w:r>
      <w:r>
        <w:rPr>
          <w:rFonts w:ascii="微软雅黑" w:hAnsi="微软雅黑" w:eastAsia="微软雅黑"/>
          <w:color w:val="1D344A"/>
          <w:sz w:val="16"/>
        </w:rPr>
        <w:t>号码、车型、图片、BOM、商品发布都不是一次性录入完成。系统需要把“新进入、待确认、正式可用、虚删除、异常待处理”的状态固化下来，避免业务人员绕过治理流程直接污染正式库。</w:t>
      </w:r>
    </w:p>
    <w:p w14:paraId="297D07B6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流程口径：</w:t>
      </w:r>
      <w:r>
        <w:rPr>
          <w:rFonts w:ascii="微软雅黑" w:hAnsi="微软雅黑" w:eastAsia="微软雅黑"/>
          <w:color w:val="1D344A"/>
          <w:sz w:val="16"/>
        </w:rPr>
        <w:t>高置信数据可以自动进入正式库；中置信数据进入待确认库并分配责任人；低置信或冲突数据进入异常清单。删除动作原则上进入虚删除库，不做物理删除，以便后续查询、核验和审计。</w:t>
      </w:r>
    </w:p>
    <w:p w14:paraId="2A40F749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日志口径：</w:t>
      </w:r>
      <w:r>
        <w:rPr>
          <w:rFonts w:ascii="微软雅黑" w:hAnsi="微软雅黑" w:eastAsia="微软雅黑"/>
          <w:color w:val="1D344A"/>
          <w:sz w:val="16"/>
        </w:rPr>
        <w:t>创建、修改、审核、驳回、合并、废止、发布、接口同步失败都应留下不可随意删除的日志。日志至少包含操作人、时间、对象、字段、前值、后值、原因和关联任务。</w:t>
      </w:r>
    </w:p>
    <w:p w14:paraId="4402B64A">
      <w:pPr>
        <w:pStyle w:val="5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8"/>
        </w:rPr>
        <w:t>图 4-6 状态流转与库管理</w:t>
      </w:r>
    </w:p>
    <w:p w14:paraId="0D53228A">
      <w:pPr>
        <w:spacing w:before="80" w:after="140"/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6330315" cy="3754120"/>
            <wp:effectExtent l="0" t="0" r="13335" b="17780"/>
            <wp:docPr id="7" name="图片 7" descr="图4-6-状态流转与库管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4-6-状态流转与库管理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30315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D2E12">
      <w:pPr>
        <w:jc w:val="center"/>
      </w:pPr>
      <w:r>
        <w:rPr>
          <w:color w:val="5A6978"/>
          <w:sz w:val="18"/>
        </w:rPr>
        <w:t>（见 附件 图4-6-状态流转与库管理.png）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4"/>
        <w:gridCol w:w="2570"/>
        <w:gridCol w:w="2570"/>
        <w:gridCol w:w="2570"/>
      </w:tblGrid>
      <w:tr w14:paraId="4288B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D27D68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状态/库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3A3967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进入条件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24CEE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允许动作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90AB6E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业务影响</w:t>
            </w:r>
          </w:p>
        </w:tc>
      </w:tr>
      <w:tr w14:paraId="3E522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0716AA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待进入库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F4836D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导入、录入或清洗后未满足自动正式入库条件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BB7C1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查看来源、补充资料、分配审核、批量通过/驳回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AC8F1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不直接参与正式业务查询和对外发布</w:t>
            </w:r>
          </w:p>
        </w:tc>
      </w:tr>
      <w:tr w14:paraId="43DA4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67DFD4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正式库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DC9C2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规则命中、高置信或人工审核通过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C215D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查询、引用、发布、接口同步、版本管理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06A78E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业务员、产品部和对外分发使用的主数据</w:t>
            </w:r>
          </w:p>
        </w:tc>
      </w:tr>
      <w:tr w14:paraId="2AB6B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BCC701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待确认库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3E641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匹配结果中置信、资料不足、车型/号码关系需产品专员判断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B95752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确认、驳回、补充证据、转异常、转正式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F74A5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形成产品部日常待办和治理任务</w:t>
            </w:r>
          </w:p>
        </w:tc>
      </w:tr>
      <w:tr w14:paraId="0C6B7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C8C18C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虚删除库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837B76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正式库中被废止、删除、合并或替代的数据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75E4D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查询、恢复、查看历史、审计追溯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4ED21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不参与正式查询，但避免重复核验同一批问题数据</w:t>
            </w:r>
          </w:p>
        </w:tc>
      </w:tr>
      <w:tr w14:paraId="3FF22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9A0661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异常清单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57D06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号码冲突、车型冲突、缺关键字段、规则不一致或来源可信度低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4BDD72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分派、说明原因、补充材料、关闭或转待确认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814154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用于质量报表和后续补全计划</w:t>
            </w:r>
          </w:p>
        </w:tc>
      </w:tr>
    </w:tbl>
    <w:p w14:paraId="29021ABC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4.4 页面蓝图与角色工作台设计</w:t>
      </w:r>
    </w:p>
    <w:p w14:paraId="00229849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设计目的：</w:t>
      </w:r>
      <w:r>
        <w:rPr>
          <w:rFonts w:ascii="微软雅黑" w:hAnsi="微软雅黑" w:eastAsia="微软雅黑"/>
          <w:color w:val="1D344A"/>
          <w:sz w:val="16"/>
        </w:rPr>
        <w:t>页面不是把字段全部摆出来，而是围绕产品人员、数据治理人员、销售/外贸、管理员和实施人员的实际工作组织。高频动作应做到少跳转、可批量、可追溯。</w:t>
      </w:r>
    </w:p>
    <w:p w14:paraId="5587A9CB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页面原则：</w:t>
      </w:r>
      <w:r>
        <w:rPr>
          <w:rFonts w:ascii="微软雅黑" w:hAnsi="微软雅黑" w:eastAsia="微软雅黑"/>
          <w:color w:val="1D344A"/>
          <w:sz w:val="16"/>
        </w:rPr>
        <w:t>查询页强调精确查询、批量查询和历史结果复用；详情页强调继承关系、差异字段和日志；工作台强调待办、确认、补全和异常处理；导出页强调模板、版本和字段授权。</w:t>
      </w:r>
    </w:p>
    <w:p w14:paraId="00DA71BC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移动端边界：</w:t>
      </w:r>
      <w:r>
        <w:rPr>
          <w:rFonts w:ascii="微软雅黑" w:hAnsi="微软雅黑" w:eastAsia="微软雅黑"/>
          <w:color w:val="1D344A"/>
          <w:sz w:val="16"/>
        </w:rPr>
        <w:t>一期建议仅支持单品查询移动端适配，复杂管理后台仍以 PC 办公端为主。若后续要做移动端拍照、审核和任务处理，需要单独确认 IOS/Android、拍照设备和图片命名规则。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6"/>
        <w:gridCol w:w="2581"/>
        <w:gridCol w:w="2581"/>
        <w:gridCol w:w="2536"/>
      </w:tblGrid>
      <w:tr w14:paraId="4F07A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42033A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角色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DA5AA8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核心页面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8B93E8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高频动作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D280F6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验收方式</w:t>
            </w:r>
          </w:p>
        </w:tc>
      </w:tr>
      <w:tr w14:paraId="3A11F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EEC330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产品专员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0928C8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产品匹配工作台、待确认库、零件详情、商品详情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24557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确认号码/车型、补充证据、沉淀历史结果、发起补全任务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D7372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按真实问询样本验证处理闭环</w:t>
            </w:r>
          </w:p>
        </w:tc>
      </w:tr>
      <w:tr w14:paraId="07F4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1FB29F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数据治理人员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03E48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资源导入、清洗规则、异常清单、质量看板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717D8E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导入资源、配置规则、查看冲突、输出治理报告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C9D27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用样本数据验证覆盖率和异常处理</w:t>
            </w:r>
          </w:p>
        </w:tc>
      </w:tr>
      <w:tr w14:paraId="78C13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4E2836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销售/外贸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0B2BC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单品查询、批量查询、导出模板、发布版本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83EF5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按号码/车型/客户号查询，导出客户所需字段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9845A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验证权限范围和客户专属号隔离</w:t>
            </w:r>
          </w:p>
        </w:tc>
      </w:tr>
      <w:tr w14:paraId="1AE49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BD1A45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管理员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35894B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角色权限、字段权限、字典配置、日志审计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904A9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分配角色、控制字段、查看日志、维护字典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3DD66A">
            <w:pPr>
              <w:spacing w:after="0" w:line="259" w:lineRule="auto"/>
            </w:pPr>
            <w:r>
              <w:rPr>
                <w:sz w:val="14"/>
              </w:rPr>
              <w:t>基础权限配置和日志抽查</w:t>
            </w:r>
          </w:p>
        </w:tc>
      </w:tr>
      <w:tr w14:paraId="77491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7DB1D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接口/实施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99192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接口配置、同步日志、失败重试、发布记录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FF371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查看同步状态、处理失败、导出联调记录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BFAE2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按接口样例验证同步和日志</w:t>
            </w:r>
          </w:p>
        </w:tc>
      </w:tr>
    </w:tbl>
    <w:p w14:paraId="3CC7E97A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4.5 接口、发布与外部分发设计</w:t>
      </w:r>
    </w:p>
    <w:p w14:paraId="3BC9C3C9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总体边界：</w:t>
      </w:r>
      <w:r>
        <w:rPr>
          <w:rFonts w:ascii="微软雅黑" w:hAnsi="微软雅黑" w:eastAsia="微软雅黑"/>
          <w:color w:val="1D344A"/>
          <w:sz w:val="16"/>
        </w:rPr>
        <w:t>宜配承建或负责的产品域应用可以由产品主数据中台直接对接；PLM、ERP、MES、WMS、CRM、OA 等非产品域系统原则上由 MDM 统一承接，具体接口由蓝图阶段确认。</w:t>
      </w:r>
    </w:p>
    <w:p w14:paraId="32625CAA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接口原则：</w:t>
      </w:r>
      <w:r>
        <w:rPr>
          <w:rFonts w:ascii="微软雅黑" w:hAnsi="微软雅黑" w:eastAsia="微软雅黑"/>
          <w:color w:val="1D344A"/>
          <w:sz w:val="16"/>
        </w:rPr>
        <w:t>每个接口都要明确方向、对象、字段、触发方式、同步频率、鉴权方式、失败重试、日志保存和责任人。不能用“对接 MDM/ERP”一句话替代接口清单。</w:t>
      </w:r>
    </w:p>
    <w:p w14:paraId="5261B491">
      <w:pPr>
        <w:spacing w:before="80" w:after="100" w:line="271" w:lineRule="auto"/>
      </w:pPr>
      <w:r>
        <w:rPr>
          <w:rFonts w:ascii="微软雅黑" w:hAnsi="微软雅黑" w:eastAsia="微软雅黑"/>
          <w:b w:val="0"/>
          <w:color w:val="1D344A"/>
          <w:sz w:val="16"/>
        </w:rPr>
        <w:t>发布原则：目录 PDF、官网、独立站、下单平台和 BI 报表都应基于发布版本和字段授权输出。外发数据要区分公开字段、客户专属字段、内部字段和敏感字段。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2055"/>
        <w:gridCol w:w="2092"/>
        <w:gridCol w:w="2055"/>
        <w:gridCol w:w="1970"/>
      </w:tblGrid>
      <w:tr w14:paraId="3EB12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2909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85AB4C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接口/输出对象</w:t>
            </w:r>
          </w:p>
        </w:tc>
        <w:tc>
          <w:tcPr>
            <w:tcW w:w="2909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25EA0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方向</w:t>
            </w:r>
          </w:p>
        </w:tc>
        <w:tc>
          <w:tcPr>
            <w:tcW w:w="2909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99B49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一期建议范围</w:t>
            </w:r>
          </w:p>
        </w:tc>
        <w:tc>
          <w:tcPr>
            <w:tcW w:w="2909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D30777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前置条件</w:t>
            </w:r>
          </w:p>
        </w:tc>
        <w:tc>
          <w:tcPr>
            <w:tcW w:w="2909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E643C3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报价边界</w:t>
            </w:r>
          </w:p>
        </w:tc>
      </w:tr>
      <w:tr w14:paraId="789D8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3421A0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MDM产品域同步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3F7F0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中台 -&gt; MDM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45BBC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产品、零件、号码、车型、图片索引、发布状态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69BDF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MDM字段清单、鉴权、同步频率确认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DC6FD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纳入产品域接口基础范围</w:t>
            </w:r>
          </w:p>
        </w:tc>
      </w:tr>
      <w:tr w14:paraId="431D7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8B9281E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PLM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52E4A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原则上经MDM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64C1A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图号、料号、BOM、生命周期状态引用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1917F7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PLM字段权威源和变更流程确认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4B0A2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非宜配系统深度联调另计</w:t>
            </w:r>
          </w:p>
        </w:tc>
      </w:tr>
      <w:tr w14:paraId="3A915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C6C5E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ERP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3423F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原则上经MDM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937BA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物料、商品、库存/销售相关引用字段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CD0685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ERP接口人和字段样例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E72B80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销售经营数据报表另计</w:t>
            </w:r>
          </w:p>
        </w:tc>
      </w:tr>
      <w:tr w14:paraId="0626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21902AA">
            <w:pPr>
              <w:spacing w:after="0" w:line="259" w:lineRule="auto"/>
            </w:pPr>
            <w:r>
              <w:rPr>
                <w:sz w:val="14"/>
              </w:rPr>
              <w:t>目录 PDF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6BDFB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中台 -&gt; 输出文件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257882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按品牌、地区、产品范围和发布版本生成样例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7235B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模板样例、语言、字段和图片规则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3CB6CD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模板数量超出后另行确认</w:t>
            </w:r>
          </w:p>
        </w:tc>
      </w:tr>
      <w:tr w14:paraId="62676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73D6B5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官网/独立站/下单平台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002B8A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中台 -&gt; 应用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5962D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单品查询、产品展示、图片和基础资料输出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8348A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承建方和接口方式确认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5331F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若由宜配承建可纳入平台范围</w:t>
            </w:r>
          </w:p>
        </w:tc>
      </w:tr>
      <w:tr w14:paraId="010A2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3E8F1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飞书/邮件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B32A37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中台 -&gt; 消息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0EA32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待确认、补全、样品、接口异常、发布通知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F032A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组织通讯录、消息模板、触发规则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A694C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消息服务第三方费用另计</w:t>
            </w:r>
          </w:p>
        </w:tc>
      </w:tr>
      <w:tr w14:paraId="2A78F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3DC34B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BI报表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DA089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中台 -&gt; 报表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00D93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质量、查询、流程、清洗、图片、产品匹配、目录发布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075FC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报表指标口径和数据源确认</w:t>
            </w:r>
          </w:p>
        </w:tc>
        <w:tc>
          <w:tcPr>
            <w:tcW w:w="2909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7A0AB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销售经营数据需另行确认</w:t>
            </w:r>
          </w:p>
        </w:tc>
      </w:tr>
    </w:tbl>
    <w:p w14:paraId="12CBDCF6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4.6 数据服务、样本验证与老数据策略</w:t>
      </w:r>
    </w:p>
    <w:p w14:paraId="20530641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样本先行：</w:t>
      </w:r>
      <w:r>
        <w:rPr>
          <w:rFonts w:ascii="微软雅黑" w:hAnsi="微软雅黑" w:eastAsia="微软雅黑"/>
          <w:color w:val="1D344A"/>
          <w:sz w:val="16"/>
        </w:rPr>
        <w:t>正式报价和承诺全量清洗前，建议由客户提供不少于 100 条脱敏样本，覆盖典型品类、号码、车型、OE、竞品、图片和BOM关系。乙方输出覆盖率、匹配率、冲突率、错误样例和人工确认比例。</w:t>
      </w:r>
    </w:p>
    <w:p w14:paraId="01D6B3B5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新数据策略：</w:t>
      </w:r>
      <w:r>
        <w:rPr>
          <w:rFonts w:ascii="微软雅黑" w:hAnsi="微软雅黑" w:eastAsia="微软雅黑"/>
          <w:color w:val="1D344A"/>
          <w:sz w:val="16"/>
        </w:rPr>
        <w:t>供应商、竞品、宜配API和第三方数据进入资源库后，先做字段映射、号码归一、车型交叉验证和置信度判断，再进入正式库、待确认库或异常清单。</w:t>
      </w:r>
    </w:p>
    <w:p w14:paraId="3D5D894E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老数据策略：</w:t>
      </w:r>
      <w:r>
        <w:rPr>
          <w:rFonts w:ascii="微软雅黑" w:hAnsi="微软雅黑" w:eastAsia="微软雅黑"/>
          <w:color w:val="1D344A"/>
          <w:sz w:val="16"/>
        </w:rPr>
        <w:t>历史 PDE（原系统）数据不能简单搬迁。需要先分析字段缺失、重复、冲突、废止和与现有产品关系，再确定迁移、清洗、保留或停用策略。历史全量清洗需另行报价。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7"/>
        <w:gridCol w:w="2547"/>
        <w:gridCol w:w="2547"/>
        <w:gridCol w:w="2603"/>
      </w:tblGrid>
      <w:tr w14:paraId="0C8E0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D566B6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工作项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E4FE3D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处理内容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63F21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输出物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314D2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是否计入当前报价</w:t>
            </w:r>
          </w:p>
        </w:tc>
      </w:tr>
      <w:tr w14:paraId="693A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675A3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100条样本验证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F599B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样本识别、号码归一、车型/竞品交叉、错误样例复盘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4B749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样本验证报告、规则建议、人工确认比例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61BF7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计入数据治理与清洗服务</w:t>
            </w:r>
          </w:p>
        </w:tc>
      </w:tr>
      <w:tr w14:paraId="6E37B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BE9CB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新数据入库规则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1EDAB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供应商/竞品/API数据进入资源库并按规则分流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BC8B8B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入库规则、待确认清单、异常清单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F555F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计入平台建设和样本验证</w:t>
            </w:r>
          </w:p>
        </w:tc>
      </w:tr>
      <w:tr w14:paraId="0695D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01A22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老数据验证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4000A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抽样判断历史PDE（原系统）字段、重复、缺失和冲突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DBCB0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大批量清洗可行性评估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6B5D2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计入18,000数据服务项</w:t>
            </w:r>
          </w:p>
        </w:tc>
      </w:tr>
      <w:tr w14:paraId="17DDC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C88986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历史全量清洗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29E54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按客户确认范围清洗所有历史数据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31153A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全量清洗报告、差异清单、导入结果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631133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另行报价</w:t>
            </w:r>
          </w:p>
        </w:tc>
      </w:tr>
      <w:tr w14:paraId="1DA97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017853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外部数据资源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C59CF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欧洲品牌数据、北美客户指定竞品数据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EA7E6D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授权数据/API调用/更新服务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50CDF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单独报价，不混入软件</w:t>
            </w:r>
          </w:p>
        </w:tc>
      </w:tr>
      <w:tr w14:paraId="0F010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6269C8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长期数据更新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E7A69F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年度数据订阅、更新、调用和服务支持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88353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年度更新记录和服务说明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AC7871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第二年起按约定续费</w:t>
            </w:r>
          </w:p>
        </w:tc>
      </w:tr>
    </w:tbl>
    <w:p w14:paraId="7C45BF3F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4.7 实施路线、交付物与验收标准</w:t>
      </w:r>
    </w:p>
    <w:p w14:paraId="14E4C7C2">
      <w:pPr>
        <w:pStyle w:val="5"/>
        <w:jc w:val="left"/>
      </w:pPr>
      <w:r>
        <w:t>4.7.1 部署架构与服务器资源建议</w:t>
      </w:r>
    </w:p>
    <w:p w14:paraId="53AAA2A5">
      <w:r>
        <w:rPr>
          <w:sz w:val="21"/>
        </w:rPr>
        <w:t>本节用于说明部署选型、服务器资源和高可用扩展边界。基础部署、高可用部署和云资源费用应拆开确认；以下图示作为报价和环境准备依据，不等同于一期默认承诺全部高可用能力。</w:t>
      </w:r>
    </w:p>
    <w:p w14:paraId="3DE225E8">
      <w:pPr>
        <w:pStyle w:val="15"/>
        <w:jc w:val="center"/>
      </w:pPr>
      <w:r>
        <w:t>图：部署演进路径：单机、应用与数据库分离、读写分离、负载均衡与水平扩展</w:t>
      </w:r>
    </w:p>
    <w:p w14:paraId="4997F3FA">
      <w:pPr>
        <w:jc w:val="center"/>
      </w:pPr>
      <w:r>
        <w:drawing>
          <wp:inline distT="0" distB="0" distL="114300" distR="114300">
            <wp:extent cx="3487420" cy="7040245"/>
            <wp:effectExtent l="0" t="0" r="1778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87918" cy="704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07A03">
      <w:pPr>
        <w:jc w:val="center"/>
      </w:pPr>
      <w:r>
        <w:rPr>
          <w:color w:val="5A6978"/>
          <w:sz w:val="18"/>
        </w:rPr>
        <w:t>（见 附件 部署方案A-单机到高可用演进.png）</w:t>
      </w:r>
    </w:p>
    <w:p w14:paraId="35C4B8E3">
      <w:pPr>
        <w:pStyle w:val="15"/>
        <w:jc w:val="center"/>
      </w:pPr>
      <w:r>
        <w:t>图：技术架构与服务组件关系：接入层、应用层、任务层、缓存、数据库、OSS 与外部系统</w:t>
      </w:r>
    </w:p>
    <w:p w14:paraId="5440F4A8">
      <w:pPr>
        <w:jc w:val="center"/>
      </w:pPr>
      <w:r>
        <w:drawing>
          <wp:inline distT="0" distB="0" distL="114300" distR="114300">
            <wp:extent cx="5806440" cy="2919095"/>
            <wp:effectExtent l="0" t="0" r="3810" b="146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1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A364F">
      <w:pPr>
        <w:jc w:val="center"/>
      </w:pPr>
      <w:r>
        <w:rPr>
          <w:color w:val="5A6978"/>
          <w:sz w:val="18"/>
        </w:rPr>
        <w:t>（见 附件 部署方案B-技术架构与服务组件关系.png）</w:t>
      </w:r>
    </w:p>
    <w:p w14:paraId="116DF2F0">
      <w:pPr>
        <w:pStyle w:val="15"/>
        <w:jc w:val="center"/>
      </w:pPr>
      <w:r>
        <w:t>图：推荐服务器配置与快照策略：应用服务器、长任务服务器、云 MySQL、OSS 文件服务</w:t>
      </w:r>
    </w:p>
    <w:p w14:paraId="1D692BFE">
      <w:pPr>
        <w:jc w:val="center"/>
      </w:pPr>
      <w:r>
        <w:drawing>
          <wp:inline distT="0" distB="0" distL="114300" distR="114300">
            <wp:extent cx="5806440" cy="4354830"/>
            <wp:effectExtent l="0" t="0" r="381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35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41477">
      <w:pPr>
        <w:jc w:val="center"/>
      </w:pPr>
      <w:r>
        <w:rPr>
          <w:color w:val="5A6978"/>
          <w:sz w:val="18"/>
        </w:rPr>
        <w:t>（见 附件 部署方案C-推荐服务器配置与快照策略.png）</w:t>
      </w:r>
    </w:p>
    <w:p w14:paraId="65804612">
      <w:pPr>
        <w:pStyle w:val="5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8"/>
        </w:rPr>
        <w:t>图 4-8 实施路线与交付节奏</w:t>
      </w:r>
    </w:p>
    <w:p w14:paraId="26F95E85">
      <w:pPr>
        <w:spacing w:before="80" w:after="140"/>
        <w:jc w:val="center"/>
      </w:pPr>
      <w:r>
        <w:drawing>
          <wp:inline distT="0" distB="0" distL="114300" distR="114300">
            <wp:extent cx="5989320" cy="3065145"/>
            <wp:effectExtent l="0" t="0" r="1143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065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4AF83">
      <w:pPr>
        <w:jc w:val="center"/>
      </w:pPr>
      <w:r>
        <w:rPr>
          <w:color w:val="5A6978"/>
          <w:sz w:val="18"/>
        </w:rPr>
        <w:t>（见 附件 图4-8-实施路线与交付节奏.png）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7"/>
        <w:gridCol w:w="2787"/>
        <w:gridCol w:w="2480"/>
        <w:gridCol w:w="2480"/>
      </w:tblGrid>
      <w:tr w14:paraId="5AEE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BA1ED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阶段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FF2CEE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主要工作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942B6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关键交付物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59A92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验收关注点</w:t>
            </w:r>
          </w:p>
        </w:tc>
      </w:tr>
      <w:tr w14:paraId="5098B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05A23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调研与蓝图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D702C7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访谈、现状系统梳理、样本收集、PDE（原系统）/PLM/ERP/MDM边界确认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20E172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调研纪要、问题清单、蓝图方案、需求响应矩阵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3C9621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范围、边界和优先级确认</w:t>
            </w:r>
          </w:p>
        </w:tc>
      </w:tr>
      <w:tr w14:paraId="1140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678E38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原型与字段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642ECF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页面原型、字段模型、状态流程、权限模型、导出模板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8F9C0E">
            <w:pPr>
              <w:spacing w:after="0" w:line="259" w:lineRule="auto"/>
            </w:pPr>
            <w:r>
              <w:rPr>
                <w:sz w:val="14"/>
              </w:rPr>
              <w:t>原型稿、字段清单、状态说明、基础权限配置说明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C0AE8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客户能按原型确认业务动作</w:t>
            </w:r>
          </w:p>
        </w:tc>
      </w:tr>
      <w:tr w14:paraId="313AC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48043B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开发与联调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B530F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平台开发、接口开发、资源导入、核心业务闭环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0EC20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可测试系统、接口服务、后台任务、导入模板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E8A5C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核心流程可跑通</w:t>
            </w:r>
          </w:p>
        </w:tc>
      </w:tr>
      <w:tr w14:paraId="480A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E3A48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数据验证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4F9DBA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100条样本验证、老数据可行性评估、异常样例复盘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74DF7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样本验证报告、清洗报告、异常清单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2FFDB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覆盖率、匹配率、人工确认比例清楚</w:t>
            </w:r>
          </w:p>
        </w:tc>
      </w:tr>
      <w:tr w14:paraId="50257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77661A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测试与UAT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666AC3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功能、接口、权限、数据、性能基础测试，UAT问题闭环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0E48B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测试用例、测试报告、缺陷清单、修复记录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6BA49E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关键缺陷关闭</w:t>
            </w:r>
          </w:p>
        </w:tc>
      </w:tr>
      <w:tr w14:paraId="7475E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50034E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部署与培训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AC6C2B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环境部署、配置初始化、数据导入、上线切换、培训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5F0DE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部署记录、培训课件、操作手册、上线方案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1FFCB4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管理员和业务人员可操作</w:t>
            </w:r>
          </w:p>
        </w:tc>
      </w:tr>
      <w:tr w14:paraId="358B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22B4951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验收与质保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DB54E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验收材料汇总、试运行问题响应、质保期支持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89750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验收报告、问题响应记录、运维说明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D2EBD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按合同和蓝图范围验收</w:t>
            </w:r>
          </w:p>
        </w:tc>
      </w:tr>
    </w:tbl>
    <w:p w14:paraId="2CC2191E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4.8 一期验收清单与后续扩展边界</w:t>
      </w:r>
    </w:p>
    <w:p w14:paraId="1837A8EB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一期验收：</w:t>
      </w:r>
      <w:r>
        <w:rPr>
          <w:rFonts w:ascii="微软雅黑" w:hAnsi="微软雅黑" w:eastAsia="微软雅黑"/>
          <w:color w:val="1D344A"/>
          <w:sz w:val="16"/>
        </w:rPr>
        <w:t>建议围绕“可维护、可查询、可清洗、可确认、可发布、可审计、可交付”七个维度验收。这样既能避免只看界面，也能避免把二期增强误认为一期承诺。</w:t>
      </w:r>
    </w:p>
    <w:p w14:paraId="5B93A804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扩展边界：</w:t>
      </w:r>
      <w:r>
        <w:rPr>
          <w:rFonts w:ascii="微软雅黑" w:hAnsi="微软雅黑" w:eastAsia="微软雅黑"/>
          <w:color w:val="1D344A"/>
          <w:sz w:val="16"/>
        </w:rPr>
        <w:t>PDE（原系统）全量替代、历史数据全量清洗、高可用部署、完整移动端、复杂自动报价、第三方SaaS、非产品域深度系统集成均建议列为二期或单独报价。</w:t>
      </w:r>
    </w:p>
    <w:p w14:paraId="3C629356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客户确认：</w:t>
      </w:r>
      <w:r>
        <w:rPr>
          <w:rFonts w:ascii="微软雅黑" w:hAnsi="微软雅黑" w:eastAsia="微软雅黑"/>
          <w:color w:val="1D344A"/>
          <w:sz w:val="16"/>
        </w:rPr>
        <w:t>本章节可作为下一轮客户沟通的确认清单。客户确认后，后续蓝图、合同附件、测试用例和验收报告都能直接沿用同一套口径。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2627"/>
        <w:gridCol w:w="2558"/>
        <w:gridCol w:w="2536"/>
      </w:tblGrid>
      <w:tr w14:paraId="217D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36DFD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验收维度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D1C4D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一期应达到的状态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D1AFC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证明材料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375F74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不默认包含</w:t>
            </w:r>
          </w:p>
        </w:tc>
      </w:tr>
      <w:tr w14:paraId="0DE7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22F075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数据对象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BE8909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供应库、零件库、商品库、号码、车型、BOM、图片、发布版本可维护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D3D8F3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对象模型、字段清单、页面截图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E0AE92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全行业全字段一次性覆盖</w:t>
            </w:r>
          </w:p>
        </w:tc>
      </w:tr>
      <w:tr w14:paraId="7233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84C40C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查询能力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3969FA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单号、多号、批量、车型、OE、客户专属号等核心查询可用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F408B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查询用例、结果截图、导出样例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D987A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完整模糊搜索和AI问答</w:t>
            </w:r>
          </w:p>
        </w:tc>
      </w:tr>
      <w:tr w14:paraId="2B039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D2FD2A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清洗能力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9D474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样本验证、新数据入库分流、老数据可行性评估可交付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F1C6E0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样本报告、清洗规则、异常清单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B96C2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历史全量清洗</w:t>
            </w:r>
          </w:p>
        </w:tc>
      </w:tr>
      <w:tr w14:paraId="29359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1A726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流程能力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AACF2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待进入库、正式库、待确认库、虚删除库和异常清单能流转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1B31FE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流程记录、日志、审核样例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5877B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复杂跨部门OA深度审批</w:t>
            </w:r>
          </w:p>
        </w:tc>
      </w:tr>
      <w:tr w14:paraId="6FD3A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238A8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发布能力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F8A61D">
            <w:pPr>
              <w:spacing w:after="0" w:line="259" w:lineRule="auto"/>
            </w:pPr>
            <w:r>
              <w:rPr>
                <w:sz w:val="14"/>
              </w:rPr>
              <w:t>目录 PDF样例、官网/下单平台数据边界、MDM同步边界清楚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DA48C7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发布版本、接口清单、目录样例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078CD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所有平台全量上线</w:t>
            </w:r>
          </w:p>
        </w:tc>
      </w:tr>
      <w:tr w14:paraId="3398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F5C72E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安全审计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1ED93A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功能/字段/附件/导出权限、脱敏水印、日志审计可验证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64E568">
            <w:pPr>
              <w:spacing w:after="0" w:line="259" w:lineRule="auto"/>
            </w:pPr>
            <w:r>
              <w:rPr>
                <w:sz w:val="14"/>
              </w:rPr>
              <w:t>基础权限配置说明、典型角色验证记录、基础日志样例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47206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等保/第三方安全测评</w:t>
            </w:r>
          </w:p>
        </w:tc>
      </w:tr>
      <w:tr w14:paraId="3BD67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52968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项目交付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1C5D6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文档、培训、测试、部署、验收材料齐全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B7AACC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交付物清单、培训签到、验收报告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5270D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长期驻场和年度运维</w:t>
            </w:r>
          </w:p>
        </w:tc>
      </w:tr>
    </w:tbl>
    <w:p w14:paraId="0FD50338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4.9 需求响应矩阵：从客户说法到方案落点</w:t>
      </w:r>
    </w:p>
    <w:p w14:paraId="615238D9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整理口径：</w:t>
      </w:r>
      <w:r>
        <w:rPr>
          <w:rFonts w:ascii="微软雅黑" w:hAnsi="微软雅黑" w:eastAsia="微软雅黑"/>
          <w:color w:val="1D344A"/>
          <w:sz w:val="16"/>
        </w:rPr>
        <w:t>本表用于把客户口头需求、SOW、会议补充和宜配方案表达放在同一张响应矩阵中。它不是最终合同附件，但可以作为下一轮客户确认和报价谈判的底稿。</w:t>
      </w:r>
    </w:p>
    <w:p w14:paraId="26E9C807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使用方式：</w:t>
      </w:r>
      <w:r>
        <w:rPr>
          <w:rFonts w:ascii="微软雅黑" w:hAnsi="微软雅黑" w:eastAsia="微软雅黑"/>
          <w:color w:val="1D344A"/>
          <w:sz w:val="16"/>
        </w:rPr>
        <w:t>客户确认每一行的优先级和一期范围后，可继续拆成字段清单、页面清单、接口清单、测试用例和验收条目。未确认的内容不应直接写死到合同承诺中。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4"/>
        <w:gridCol w:w="2554"/>
        <w:gridCol w:w="2627"/>
        <w:gridCol w:w="2519"/>
      </w:tblGrid>
      <w:tr w14:paraId="3DC2E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D2B98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需求主题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B6034F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客户关注点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027C7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一期方案响应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F9902D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报价/边界处理</w:t>
            </w:r>
          </w:p>
        </w:tc>
      </w:tr>
      <w:tr w14:paraId="4932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B6C1E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三库底座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8810F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供应库、零件库、商品库边界要清楚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7673B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资源先治理，零件标准化，商品继承并承接销售差异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B9EEAD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纳入平台定制开发</w:t>
            </w:r>
          </w:p>
        </w:tc>
      </w:tr>
      <w:tr w14:paraId="7689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8F4CF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标准分类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63B61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多级分类、标准名称、公共参数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6ADC2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分类树、标准中英文名、别名、海关/单位/开票/报关等公共参数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6BF87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纳入平台定制开发</w:t>
            </w:r>
          </w:p>
        </w:tc>
      </w:tr>
      <w:tr w14:paraId="5555F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25F4D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号码管理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A6908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互换号、OE、主号、来源和状态流程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38A71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待进入库、正式库、虚删除库，结合清洗规则流转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6355E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纳入平台定制开发</w:t>
            </w:r>
          </w:p>
        </w:tc>
      </w:tr>
      <w:tr w14:paraId="61DED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9286A0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车型适配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97CD1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国际/北美/中国车型库框架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F07365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按地区扩展车型库，先做框架和样本验证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52353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深度商业车型数据另计</w:t>
            </w:r>
          </w:p>
        </w:tc>
      </w:tr>
      <w:tr w14:paraId="43663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FFA1E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图纸附件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1F283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图纸版本、来源、授权和附件管理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E0516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图纸与普通附件分开，控制授权和下载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F12151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纳入平台范围，复杂图纸系统另计</w:t>
            </w:r>
          </w:p>
        </w:tc>
      </w:tr>
      <w:tr w14:paraId="5A925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BE05E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图片管理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5FFDE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图片分组、拍照需求、任务、尺寸处理、360图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45E48D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一期做分组、用途、尺寸和授权；移动拍照需确认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782A67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AI精修/SaaS另计</w:t>
            </w:r>
          </w:p>
        </w:tc>
      </w:tr>
      <w:tr w14:paraId="26990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E059198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竞品价格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D8F04B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竞品价格来源、国家、币种、起订量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6218A1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作为商品/资源扩展信息维护，和竞品资源可提示但不强绑定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C0C13A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纳入数据模型，销售分析另计</w:t>
            </w:r>
          </w:p>
        </w:tc>
      </w:tr>
      <w:tr w14:paraId="1FF1C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9E6E37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BOM/包装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D57E91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真实BOM、销售BOM、包装BOM、虚件组合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4B0D85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区分生产结构、销售组合和包装结构，保留日志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20AB4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纳入平台定制开发</w:t>
            </w:r>
          </w:p>
        </w:tc>
      </w:tr>
      <w:tr w14:paraId="2325B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FB979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商品发布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D6788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品牌、客户、事业部、状态、标签、发布版本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E29BA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商品继承零件，允许差异字段和客户专属号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D1FE5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纳入平台定制开发</w:t>
            </w:r>
          </w:p>
        </w:tc>
      </w:tr>
      <w:tr w14:paraId="47596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DAF49E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产品匹配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8E469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多格式问品、历史复用、资源扩展、人工确认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82BFE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建设产品匹配工作台，不承诺一期完整自动报价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207EE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纳入平台范围</w:t>
            </w:r>
          </w:p>
        </w:tc>
      </w:tr>
      <w:tr w14:paraId="75EC2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47F59E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样品管理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6F3D1A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防重复样品申请和数据补全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C9FBD2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申请前检查同类零件/商品/样品和缺失字段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9D5F4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纳入平台范围</w:t>
            </w:r>
          </w:p>
        </w:tc>
      </w:tr>
      <w:tr w14:paraId="7A740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64A266">
            <w:pPr>
              <w:spacing w:after="0" w:line="259" w:lineRule="auto"/>
            </w:pPr>
            <w:r>
              <w:rPr>
                <w:sz w:val="13"/>
              </w:rPr>
              <w:t>目录 PDF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DC823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按品牌、地区和产品范围输出目录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C077C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按模板和发布版本输出样例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39719F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模板数量需确认</w:t>
            </w:r>
          </w:p>
        </w:tc>
      </w:tr>
      <w:tr w14:paraId="46D8D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85383E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官网/下单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4A48E5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独立站、官网、下单平台拆开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67C6D7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宜配承建则直接对接；第三方承建则输出数据接口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78119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按承建边界确认</w:t>
            </w:r>
          </w:p>
        </w:tc>
      </w:tr>
      <w:tr w14:paraId="2E80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F87530B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BI报表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982EF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质量、查询、流程、清洗、图片、询价统计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22753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产品域报表纳入，销售经营数据依赖MDM/ERP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A647F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销售类接口另计</w:t>
            </w:r>
          </w:p>
        </w:tc>
      </w:tr>
      <w:tr w14:paraId="546EC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FEC3C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权限安全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D5ECEA">
            <w:pPr>
              <w:spacing w:after="0" w:line="259" w:lineRule="auto"/>
            </w:pPr>
            <w:r>
              <w:rPr>
                <w:sz w:val="13"/>
              </w:rPr>
              <w:t>角色权限、按钮权限、附件授权、导出控制、必要脱敏、水印和日志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0474430">
            <w:pPr>
              <w:spacing w:after="0" w:line="259" w:lineRule="auto"/>
            </w:pPr>
            <w:r>
              <w:rPr>
                <w:sz w:val="13"/>
              </w:rPr>
              <w:t>纳入基础权限配置和日志记录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572E9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纳入平台范围</w:t>
            </w:r>
          </w:p>
        </w:tc>
      </w:tr>
    </w:tbl>
    <w:p w14:paraId="61769F55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4.10 典型业务场景与验收样例</w:t>
      </w:r>
    </w:p>
    <w:p w14:paraId="35E0ABB6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场景价值：</w:t>
      </w:r>
      <w:r>
        <w:rPr>
          <w:rFonts w:ascii="微软雅黑" w:hAnsi="微软雅黑" w:eastAsia="微软雅黑"/>
          <w:color w:val="1D344A"/>
          <w:sz w:val="16"/>
        </w:rPr>
        <w:t>客户评审技术方案时，单纯模块清单不够直观。把典型场景写出来，可以让陈总、产品部、IT 和业务人员都看懂系统上线后怎么使用、怎么验收。</w:t>
      </w:r>
    </w:p>
    <w:p w14:paraId="57D22145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验收方法：</w:t>
      </w:r>
      <w:r>
        <w:rPr>
          <w:rFonts w:ascii="微软雅黑" w:hAnsi="微软雅黑" w:eastAsia="微软雅黑"/>
          <w:color w:val="1D344A"/>
          <w:sz w:val="16"/>
        </w:rPr>
        <w:t>每个场景至少准备一组样本数据和一条操作路径。验收时看输入、处理、结果、日志和输出物是否完整，而不是只看某一个页面是否存在。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2"/>
        <w:gridCol w:w="2600"/>
        <w:gridCol w:w="2531"/>
        <w:gridCol w:w="2531"/>
      </w:tblGrid>
      <w:tr w14:paraId="110F5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1EDE94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场景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974BB9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输入材料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4AD46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系统处理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C5ACA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验收结果</w:t>
            </w:r>
          </w:p>
        </w:tc>
      </w:tr>
      <w:tr w14:paraId="5D04F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8F712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新增供应商资料入库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E33B9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供应商Excel、PDF或整理表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338AB6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导入资源库、字段映射、号码归一、生成候选关系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0C2B9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可检索来源，可进入待确认或异常清单</w:t>
            </w:r>
          </w:p>
        </w:tc>
      </w:tr>
      <w:tr w14:paraId="3F4E6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896B1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新号码自动入正式库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F51998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高置信号码关系样本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0101C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清洗规则命中，自动进入正式库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7B3EF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业务查询可查，日志可追溯</w:t>
            </w:r>
          </w:p>
        </w:tc>
      </w:tr>
      <w:tr w14:paraId="6A0A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C212A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中置信号码待确认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ED901F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存在部分冲突或缺字段的号码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D51F7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进入待确认库并分配产品专员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C8B54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确认后进入正式库或驳回</w:t>
            </w:r>
          </w:p>
        </w:tc>
      </w:tr>
      <w:tr w14:paraId="41E0D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FFE5AF5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客户问品快速匹配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003A1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名称+车型+图片或多行号码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E09C6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识别号码、拆分多号、查历史、扩展资源库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7C3E7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返回商品/零件候选结果</w:t>
            </w:r>
          </w:p>
        </w:tc>
      </w:tr>
      <w:tr w14:paraId="1C1E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980286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商品继承零件数据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144FB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一个标准零件生成多个商品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64016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商品继承技术字段，按品牌/客户覆盖差异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F2AB3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能解释两个商品差异</w:t>
            </w:r>
          </w:p>
        </w:tc>
      </w:tr>
      <w:tr w14:paraId="274AD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F6E95C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客户专属号隔离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3EAAE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某客户专属号码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09A3E6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仅在该客户范围查询和导出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A9B3A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其他客户不可见</w:t>
            </w:r>
          </w:p>
        </w:tc>
      </w:tr>
      <w:tr w14:paraId="0FF70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B5714E0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图纸授权下载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ACA0F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图纸附件和版本记录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2C7F2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按角色控制预览/下载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2CAE6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日志记录下载人和时间</w:t>
            </w:r>
          </w:p>
        </w:tc>
      </w:tr>
      <w:tr w14:paraId="3993E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22DC4DB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图片目录输出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0CFB65">
            <w:pPr>
              <w:spacing w:after="0" w:line="259" w:lineRule="auto"/>
            </w:pPr>
            <w:r>
              <w:rPr>
                <w:sz w:val="14"/>
              </w:rPr>
              <w:t>原始图片、处理后图片、目录图片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6B93BE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按分组和用途生成目录素材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CB9032">
            <w:pPr>
              <w:spacing w:after="0" w:line="259" w:lineRule="auto"/>
            </w:pPr>
            <w:r>
              <w:rPr>
                <w:sz w:val="14"/>
              </w:rPr>
              <w:t>目录 PDF引用正确图片</w:t>
            </w:r>
          </w:p>
        </w:tc>
      </w:tr>
      <w:tr w14:paraId="7F1CB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8A77F4A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包装BOM带出尺寸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918B7C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商品选择包装虚件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17437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自动带出包装尺寸、重量、体积估算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35B3F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可用于商品包装信息</w:t>
            </w:r>
          </w:p>
        </w:tc>
      </w:tr>
      <w:tr w14:paraId="60BAC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91A667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样品防重复申请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4F05B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新样品申请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EE44D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检查同类样品、零件、商品和缺失字段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1122B2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提示重复或生成补全任务</w:t>
            </w:r>
          </w:p>
        </w:tc>
      </w:tr>
      <w:tr w14:paraId="1A10A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FCC945A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MDM同步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C1975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发布后的产品域数据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95E8B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按接口字段同步并记录日志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D98FF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成功/失败和重试记录可查</w:t>
            </w:r>
          </w:p>
        </w:tc>
      </w:tr>
      <w:tr w14:paraId="4D203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0B7F1E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质量治理推荐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A0C17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缺图片、缺车型、缺OE样本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EAB59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系统生成补全任务和质量评分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F1F09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治理看板可查看趋势</w:t>
            </w:r>
          </w:p>
        </w:tc>
      </w:tr>
    </w:tbl>
    <w:p w14:paraId="537D35D4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4.11 风险控制与客户决策项</w:t>
      </w:r>
    </w:p>
    <w:p w14:paraId="51BFD22F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风险口径：</w:t>
      </w:r>
      <w:r>
        <w:rPr>
          <w:rFonts w:ascii="微软雅黑" w:hAnsi="微软雅黑" w:eastAsia="微软雅黑"/>
          <w:color w:val="1D344A"/>
          <w:sz w:val="16"/>
        </w:rPr>
        <w:t>本项目最容易失控的不是单个页面开发，而是历史数据、接口边界、外部商业数据、图片/目录处理和客户内部系统责任没有提前确认。方案中需要把风险写清楚，避免报价后反复拉扯。</w:t>
      </w:r>
    </w:p>
    <w:p w14:paraId="13819C1E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决策机制：</w:t>
      </w:r>
      <w:r>
        <w:rPr>
          <w:rFonts w:ascii="微软雅黑" w:hAnsi="微软雅黑" w:eastAsia="微软雅黑"/>
          <w:color w:val="1D344A"/>
          <w:sz w:val="16"/>
        </w:rPr>
        <w:t>建议在蓝图阶段设立客户确认清单，凡是影响报价、工期、验收和第三方费用的事项，必须由客户业务负责人和IT负责人共同确认。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1"/>
        <w:gridCol w:w="2454"/>
        <w:gridCol w:w="2493"/>
        <w:gridCol w:w="2516"/>
      </w:tblGrid>
      <w:tr w14:paraId="57411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B2C30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风险/决策项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2EBBBB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影响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B7A6F0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建议控制方式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1F5B4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客户需确认</w:t>
            </w:r>
          </w:p>
        </w:tc>
      </w:tr>
      <w:tr w14:paraId="2A8F9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A002EA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历史PDE（原系统）数据质量不明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4332A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影响迁移、清洗和上线节奏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DA66D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先做样本验证和可行性评估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8B634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是否全量清洗、清洗范围和验收指标</w:t>
            </w:r>
          </w:p>
        </w:tc>
      </w:tr>
      <w:tr w14:paraId="4E491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093750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PLM/ERP/MDM权威源不清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1DBBB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影响字段同步和责任边界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7A426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蓝图阶段确认字段来源和接口方向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423511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每个系统的数据Owner</w:t>
            </w:r>
          </w:p>
        </w:tc>
      </w:tr>
      <w:tr w14:paraId="7D1E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3A78D6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外部数据授权范围不清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770E1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影响合法使用和长期更新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25C9F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数据资源单独报价并写清授权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367C8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欧洲/北美数据范围和更新周期</w:t>
            </w:r>
          </w:p>
        </w:tc>
      </w:tr>
      <w:tr w14:paraId="10719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6F40F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车型标准口径不统一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9D0B60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影响适配准确率和目录输出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2BAA9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按地区建立车型库框架并样本验证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EA8E0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欧洲、北美、中国优先级</w:t>
            </w:r>
          </w:p>
        </w:tc>
      </w:tr>
      <w:tr w14:paraId="71E7B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F9D20B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图片拍摄方式未定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D77E57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影响移动端、任务和素材处理工作量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2D6B4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先确认相机/手机/人工命名导入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1909C4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是否需要移动端拍照</w:t>
            </w:r>
          </w:p>
        </w:tc>
      </w:tr>
      <w:tr w14:paraId="3F01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B63BA26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Catalog模板数量变化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A69CD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影响版式开发和输出规则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A8F05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一期限定模板样例数量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02544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品牌、地区、语言和模板数量</w:t>
            </w:r>
          </w:p>
        </w:tc>
      </w:tr>
      <w:tr w14:paraId="73ED3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568E0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非产品域系统深度集成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09798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影响工期和接口费用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FD353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原则上由MDM承接，宜配确认产品域输出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6DD3A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是否要求宜配直连其他系统</w:t>
            </w:r>
          </w:p>
        </w:tc>
      </w:tr>
      <w:tr w14:paraId="5369C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21BE08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自动报价期望过高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6E44C7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影响一期范围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8D0BC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一期先做产品匹配和定位，不承诺完整报价引擎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7C4E9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自动报价是否放二期</w:t>
            </w:r>
          </w:p>
        </w:tc>
      </w:tr>
      <w:tr w14:paraId="0E2A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E7F9D4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高可用和安全测评要求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E7F49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影响架构和服务器成本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B54F6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基础部署与高可用部署分开报价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12F3A2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部署架构、等保或安全测评要求</w:t>
            </w:r>
          </w:p>
        </w:tc>
      </w:tr>
      <w:tr w14:paraId="0821B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E4B19C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验收口径不明确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F267B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影响尾款和上线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31EC6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用需求响应矩阵、测试用例和验收报告固化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27E15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验收负责人和验收样本</w:t>
            </w:r>
          </w:p>
        </w:tc>
      </w:tr>
    </w:tbl>
    <w:p w14:paraId="2CE0AA9F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4.12 模块成熟度与报价支撑口径</w:t>
      </w:r>
    </w:p>
    <w:p w14:paraId="152D7253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成熟度说明：</w:t>
      </w:r>
      <w:r>
        <w:rPr>
          <w:rFonts w:ascii="微软雅黑" w:hAnsi="微软雅黑" w:eastAsia="微软雅黑"/>
          <w:color w:val="1D344A"/>
          <w:sz w:val="16"/>
        </w:rPr>
        <w:t>本项目报价不应被理解为购买一套现成标准软件，也不应被理解为完全从零开发。宜配已有行业方法论、数据能力和部分可复用能力，但毅合捷的编码、BOM、状态、流程、接口和目录输出需要按客户实际业务定制落地。</w:t>
      </w:r>
    </w:p>
    <w:p w14:paraId="3047C07D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报价逻辑：</w:t>
      </w:r>
      <w:r>
        <w:rPr>
          <w:rFonts w:ascii="微软雅黑" w:hAnsi="微软雅黑" w:eastAsia="微软雅黑"/>
          <w:color w:val="1D344A"/>
          <w:sz w:val="16"/>
        </w:rPr>
        <w:t>软件平台统一按整体平台定制开发报价，内部能力成熟度只用于解释工作量来源，不在客户表格中拆成标准模块和定制模块，避免商务沟通复杂化。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0"/>
        <w:gridCol w:w="2431"/>
        <w:gridCol w:w="2892"/>
        <w:gridCol w:w="2431"/>
      </w:tblGrid>
      <w:tr w14:paraId="77B91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30E127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模块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D75304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成熟度判断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351D24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需要定制的部分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160420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报价说明</w:t>
            </w:r>
          </w:p>
        </w:tc>
      </w:tr>
      <w:tr w14:paraId="1EB2B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FC23C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用户、角色、权限、日志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1DB391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通用平台能力成熟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3FF85E">
            <w:pPr>
              <w:spacing w:after="0" w:line="259" w:lineRule="auto"/>
            </w:pPr>
            <w:r>
              <w:rPr>
                <w:sz w:val="13"/>
              </w:rPr>
              <w:t>角色权限、附件授权、客户号隔离、水印和审计口径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AC465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纳入平台建设</w:t>
            </w:r>
          </w:p>
        </w:tc>
      </w:tr>
      <w:tr w14:paraId="23EFE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324C31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供应库/资源库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6E643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有方法论和数据处理经验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3D03E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供应商随意表格、专业库、竞品目录和宜配API资源类型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F3F307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纳入平台建设，商业数据另计</w:t>
            </w:r>
          </w:p>
        </w:tc>
      </w:tr>
      <w:tr w14:paraId="2A7D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247E08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零件库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D2088E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行业模型明确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2C1D1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毅合捷分类、参数、号码、车型、图纸和附件字段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98A56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纳入平台建设</w:t>
            </w:r>
          </w:p>
        </w:tc>
      </w:tr>
      <w:tr w14:paraId="52BB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9B379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商品库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CEEC6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需按客户销售组织落地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F9AD1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品牌、客户、事业部、市场、客户专属号、发布版本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7AA5EB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纳入平台建设</w:t>
            </w:r>
          </w:p>
        </w:tc>
      </w:tr>
      <w:tr w14:paraId="4A7EF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3BB3DF6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编码/BOM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104D6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客户特征强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E969B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JR配件号、三段码、四段码、EBOM/MBOM/SBOM、包装BOM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09C61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定制工作量重点</w:t>
            </w:r>
          </w:p>
        </w:tc>
      </w:tr>
      <w:tr w14:paraId="7747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259EE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数据清洗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E5C49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规则方法成熟，客户样本需验证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475C71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号码权重、车型交叉、竞品交叉、老数据可行性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9C1B89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样本验证计入，全量清洗另计</w:t>
            </w:r>
          </w:p>
        </w:tc>
      </w:tr>
      <w:tr w14:paraId="20F20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F0A99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产品匹配工作台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89C9E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快速见效场景明确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D25BFD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多格式输入、历史复用、人工确认、资源扩展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87712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纳入平台建设</w:t>
            </w:r>
          </w:p>
        </w:tc>
      </w:tr>
      <w:tr w14:paraId="7F1B1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13C7B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图片/目录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4A42E2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基础能力可实现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DA0CA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图片分组、授权、目录模板、地区/品牌版式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818C3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模板数量和AI处理另计</w:t>
            </w:r>
          </w:p>
        </w:tc>
      </w:tr>
      <w:tr w14:paraId="087B1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E81050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样品管理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85F5E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流程需客户确认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1CE3E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样品前置检查、防重复、PLM/OA边界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12AF9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纳入平台，外部OA另计</w:t>
            </w:r>
          </w:p>
        </w:tc>
      </w:tr>
      <w:tr w14:paraId="72A33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76F67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官网/下单平台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B6D28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边界依赖承建方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33DE0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若宜配承建则直接对接，第三方承建则输出接口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B073F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按承建边界确认</w:t>
            </w:r>
          </w:p>
        </w:tc>
      </w:tr>
      <w:tr w14:paraId="1D8B1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9A98CC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BI报表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1FCB5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产品域可做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AA7A0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销售经营相关数据依赖MDM/ERP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2E2E5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产品域纳入，销售报表另计</w:t>
            </w:r>
          </w:p>
        </w:tc>
      </w:tr>
      <w:tr w14:paraId="1A2DA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8A76F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高可用/安全测评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B8941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非基础默认项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2C593F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集群、压测、等保、安全测评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096BE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单独报价</w:t>
            </w:r>
          </w:p>
        </w:tc>
      </w:tr>
    </w:tbl>
    <w:p w14:paraId="2A6F9735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4.13 核心页面清单与原型范围</w:t>
      </w:r>
    </w:p>
    <w:p w14:paraId="408D1C03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原型口径：</w:t>
      </w:r>
      <w:r>
        <w:rPr>
          <w:rFonts w:ascii="微软雅黑" w:hAnsi="微软雅黑" w:eastAsia="微软雅黑"/>
          <w:color w:val="1D344A"/>
          <w:sz w:val="16"/>
        </w:rPr>
        <w:t>下一阶段原型不需要把每一个字段都画成最终UI，但必须覆盖主流程页面、关键查询页面、待确认页面、权限页面和输出页面。客户确认原型后，开发范围和验收口径才稳定。</w:t>
      </w:r>
    </w:p>
    <w:p w14:paraId="7D6AC65A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页面价值：</w:t>
      </w:r>
      <w:r>
        <w:rPr>
          <w:rFonts w:ascii="微软雅黑" w:hAnsi="微软雅黑" w:eastAsia="微软雅黑"/>
          <w:color w:val="1D344A"/>
          <w:sz w:val="16"/>
        </w:rPr>
        <w:t>页面清单也是报价支撑材料。客户看到的不只是“开发一个平台”，而是明确知道哪些工作台、详情页、配置页、报表页和导出页会被交付。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6"/>
        <w:gridCol w:w="2541"/>
        <w:gridCol w:w="2605"/>
        <w:gridCol w:w="2502"/>
      </w:tblGrid>
      <w:tr w14:paraId="0A862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A0DDC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页面/工作台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63959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主要使用人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278BD9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核心能力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D3F5FF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一期原型要求</w:t>
            </w:r>
          </w:p>
        </w:tc>
      </w:tr>
      <w:tr w14:paraId="29950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AFCD3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首页/工作台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691A1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产品经理、管理员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5C536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待确认、异常、补全任务、质量概览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73ABE1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085CB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327FCF8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资源导入页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851094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数据治理人员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A2B85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上传文件、字段映射、来源记录、解析状态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22EAA8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77D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E4B04C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资源检索页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AE406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产品专员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F8BAE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按号码、品牌、供应商、地区、车型检索资源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2E108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66FA3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9D8A3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分类参数维护页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2DC9B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产品经理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7E4B7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分类树、标准名称、公共参数、参数模板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FA83D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60DC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00DE59B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零件列表/详情页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681AB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产品专员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2FE51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号码、车型、参数、图纸、附件、日志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6281B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2B0C3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AB67B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号码待确认页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8FE5E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产品专员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A237A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待确认、确认、驳回、补证、转异常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D7A4A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0CC94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942F8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车型适配页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21EC03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产品专员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463337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车型库、车型ID、发动机/版本、来源、状态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388306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366D6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D01597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商品列表/详情页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4A8F6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销售/产品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3885D8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品牌、客户、事业部、市场、客户号、发布状态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225186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0D634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298637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BOM/包装页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1B8D5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产品/工程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64BBC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真实BOM、销售BOM、包装BOM、替代关系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CF39F8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19F93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456CEDC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图片素材页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1B10A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产品/美工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84DB5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分组、尺寸、用途、授权、目录图片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BA52AB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426A7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76300B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产品匹配工作台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57BF6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产品部/销售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1AF19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多格式输入、自动锁定、候选匹配、人工确认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5BB80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35AFA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076C95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样品申请页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B6B17D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产品/销售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C5BED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防重复、样品状态、补全任务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64BC9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4B103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A3FD63">
            <w:pPr>
              <w:spacing w:after="0" w:line="259" w:lineRule="auto"/>
            </w:pPr>
            <w:r>
              <w:rPr>
                <w:sz w:val="13"/>
              </w:rPr>
              <w:t>目录 PDF输出页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D8B23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产品/市场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EDBCF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模板、品牌、地区、产品范围、发布版本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ACD61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2B85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5F3D1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接口同步日志页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4E04F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IT/实施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FF363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同步状态、失败重试、字段方向、日志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5F2B8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62CBD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2408F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BI质量看板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B47FD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管理层/产品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EB580B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完整度、异常、待确认、匹配率、补全趋势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B7503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  <w:tr w14:paraId="5808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B8AEEC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权限配置页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3125E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管理员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64BD2C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角色、字段、附件、按钮、导出、水印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B0CF8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需要</w:t>
            </w:r>
          </w:p>
        </w:tc>
      </w:tr>
    </w:tbl>
    <w:p w14:paraId="07B50B49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4.14 字段与接口样例口径</w:t>
      </w:r>
    </w:p>
    <w:p w14:paraId="1A5DB5C9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字段口径：</w:t>
      </w:r>
      <w:r>
        <w:rPr>
          <w:rFonts w:ascii="微软雅黑" w:hAnsi="微软雅黑" w:eastAsia="微软雅黑"/>
          <w:color w:val="1D344A"/>
          <w:sz w:val="16"/>
        </w:rPr>
        <w:t>本节不是最终字段表，而是说明蓝图阶段需要落到什么颗粒度。最终字段以客户样本、现有系统导出、业务确认和接口方确认版本为准。</w:t>
      </w:r>
    </w:p>
    <w:p w14:paraId="2F096E3E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接口口径：</w:t>
      </w:r>
      <w:r>
        <w:rPr>
          <w:rFonts w:ascii="微软雅黑" w:hAnsi="微软雅黑" w:eastAsia="微软雅黑"/>
          <w:color w:val="1D344A"/>
          <w:sz w:val="16"/>
        </w:rPr>
        <w:t>产品域接口至少要说明对象、方向、字段、触发、频率、鉴权、失败重试和日志留存。接口只写系统名称，无法支撑开发、报价和验收。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0"/>
        <w:gridCol w:w="2566"/>
        <w:gridCol w:w="2533"/>
        <w:gridCol w:w="2595"/>
      </w:tblGrid>
      <w:tr w14:paraId="1DB76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B80AB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对象/接口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02011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字段样例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FD7E3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方向/来源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CF57DA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确认责任</w:t>
            </w:r>
          </w:p>
        </w:tc>
      </w:tr>
      <w:tr w14:paraId="47044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2FE0F0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零件分类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1FC0CD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分类编码、父级、中文名、英文名、别名、启停、排序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F45AB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平台维护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3F067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产品部</w:t>
            </w:r>
          </w:p>
        </w:tc>
      </w:tr>
      <w:tr w14:paraId="66F82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3CB62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公共参数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77D63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海关编码、基本单位、开票名称、报关名称、退税率、是否对外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97CCE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分类继承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CF785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产品部/财务口径</w:t>
            </w:r>
          </w:p>
        </w:tc>
      </w:tr>
      <w:tr w14:paraId="45031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3B5E964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互换号码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FA8672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号码厂商、号码、OE汽车品牌、主号、来源、状态、操作人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966E5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导入/维护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E7733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产品部</w:t>
            </w:r>
          </w:p>
        </w:tc>
      </w:tr>
      <w:tr w14:paraId="02388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6DCBE18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车型适配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3D80D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地区、车型库、车型ID、车型名、发动机、年份、来源、置信度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F4598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数据/人工确认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666B7F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产品部</w:t>
            </w:r>
          </w:p>
        </w:tc>
      </w:tr>
      <w:tr w14:paraId="01443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B8BF9B5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零件主数据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9D148C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零件号、分类、参数、OE、车型、图纸、附件、质量评分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89EB4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平台维护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9AFCF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产品部</w:t>
            </w:r>
          </w:p>
        </w:tc>
      </w:tr>
      <w:tr w14:paraId="7F9D3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FBDF9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商品主数据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27F52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商品号、品牌、客户、事业部、市场、状态、发布版本、客户号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BBB1B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平台维护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051E9B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销售/产品</w:t>
            </w:r>
          </w:p>
        </w:tc>
      </w:tr>
      <w:tr w14:paraId="1BE49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60517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BOM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0DFF2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BOM类型、父项、子项、数量、单位、虚件、替代关系、日志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394D33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平台/接口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42C4E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产品/工程</w:t>
            </w:r>
          </w:p>
        </w:tc>
      </w:tr>
      <w:tr w14:paraId="127D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7E5AD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图片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90CBF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图片组、用途、尺寸、版本、授权、是否对外、排序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AAA13B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平台维护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D5613F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产品/美工</w:t>
            </w:r>
          </w:p>
        </w:tc>
      </w:tr>
      <w:tr w14:paraId="0EDF5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6D9691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MDM同步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A1B8D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产品、零件、商品、号码、车型、图片索引、状态、版本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00DD0A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中台 -&gt; MDM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80F09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客户IT/MDM</w:t>
            </w:r>
          </w:p>
        </w:tc>
      </w:tr>
      <w:tr w14:paraId="2BBB1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9D798B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PLM边界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73AC9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图号、料号、BOM、生命周期状态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5B28E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原则上经MDM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1FF315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客户IT/PLM</w:t>
            </w:r>
          </w:p>
        </w:tc>
      </w:tr>
      <w:tr w14:paraId="78D8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5B4FE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ERP边界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2C0FE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物料、商品、库存/销售引用字段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FDF1D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原则上经MDM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0651A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客户IT/ERP</w:t>
            </w:r>
          </w:p>
        </w:tc>
      </w:tr>
      <w:tr w14:paraId="005F0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3D778DC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消息通知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6CD87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任务类型、责任人、触发条件、模板、跳转链接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FB6CE6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中台 -&gt; 飞书/邮件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D05F9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客户IT/业务</w:t>
            </w:r>
          </w:p>
        </w:tc>
      </w:tr>
    </w:tbl>
    <w:p w14:paraId="468E9020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4.15 下一轮客户评审确认清单</w:t>
      </w:r>
    </w:p>
    <w:p w14:paraId="2C783FCF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会议目标：</w:t>
      </w:r>
      <w:r>
        <w:rPr>
          <w:rFonts w:ascii="微软雅黑" w:hAnsi="微软雅黑" w:eastAsia="微软雅黑"/>
          <w:color w:val="1D344A"/>
          <w:sz w:val="16"/>
        </w:rPr>
        <w:t>下一轮不建议再泛泛讨论“要不要做平台”，而应围绕范围、样本、接口、模板、数据资源和验收标准逐项确认。确认越具体，报价越稳。</w:t>
      </w:r>
    </w:p>
    <w:p w14:paraId="604DA8CA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输出目标：</w:t>
      </w:r>
      <w:r>
        <w:rPr>
          <w:rFonts w:ascii="微软雅黑" w:hAnsi="微软雅黑" w:eastAsia="微软雅黑"/>
          <w:color w:val="1D344A"/>
          <w:sz w:val="16"/>
        </w:rPr>
        <w:t>会议后应形成一份客户确认版需求响应矩阵，作为合同附件、蓝图设计、开发排期和验收用例的共同基础。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2"/>
        <w:gridCol w:w="2635"/>
        <w:gridCol w:w="2555"/>
        <w:gridCol w:w="2482"/>
      </w:tblGrid>
      <w:tr w14:paraId="5A9C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BD47F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确认项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ED100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需要客户给出的答案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525BE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影响范围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D638ED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建议责任人</w:t>
            </w:r>
          </w:p>
        </w:tc>
      </w:tr>
      <w:tr w14:paraId="60FA9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598F36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一期优先级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B8262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哪些模块必须一期上线，哪些可二期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61433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范围、报价、工期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5B978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陈总/产品负责人</w:t>
            </w:r>
          </w:p>
        </w:tc>
      </w:tr>
      <w:tr w14:paraId="31E3B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1E1FE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样本数据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6E249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不少于100条脱敏样本，覆盖典型品类和问题数据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4AA40F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清洗能力、老数据评估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AA1F6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产品部/IT</w:t>
            </w:r>
          </w:p>
        </w:tc>
      </w:tr>
      <w:tr w14:paraId="70BBB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5593D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PDE（原系统）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B69BE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替代范围、历史数据导出、保留/重构流程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8C93E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迁移和替代方案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B317D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IT/业务负责人</w:t>
            </w:r>
          </w:p>
        </w:tc>
      </w:tr>
      <w:tr w14:paraId="7FBA7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E0AAFE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编码/BOM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F3BCC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JR号、三段码、四段码、BOM头和层级关系样例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061B7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编码/BOM模型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ADA82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产品/工程</w:t>
            </w:r>
          </w:p>
        </w:tc>
      </w:tr>
      <w:tr w14:paraId="6408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67D77F0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图号/料号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D28AED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内部号、外部号、图号、料号的权威来源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D6A3D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字段模型和接口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94521D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产品/IT</w:t>
            </w:r>
          </w:p>
        </w:tc>
      </w:tr>
      <w:tr w14:paraId="47AC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52A396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车型库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51CB5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欧洲、北美、中国及其他地区优先级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E7C6E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车型适配和数据服务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A3083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产品部</w:t>
            </w:r>
          </w:p>
        </w:tc>
      </w:tr>
      <w:tr w14:paraId="2BB30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5E72EB5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北美竞品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3E681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客户指定北美竞品清单（TOP5）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0BC6A4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北美数据资源服务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A8F81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客户业务</w:t>
            </w:r>
          </w:p>
        </w:tc>
      </w:tr>
      <w:tr w14:paraId="450A3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87B3F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目录模板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C975E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品牌、地区、语言、输出样式和模板数量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4C167C">
            <w:pPr>
              <w:spacing w:after="0" w:line="259" w:lineRule="auto"/>
            </w:pPr>
            <w:r>
              <w:rPr>
                <w:sz w:val="13"/>
              </w:rPr>
              <w:t>目录 PDF开发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F05AE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市场/产品</w:t>
            </w:r>
          </w:p>
        </w:tc>
      </w:tr>
      <w:tr w14:paraId="218E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D1641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图片方式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8ECC60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手机拍照、相机拍照、人工命名导入或移动端任务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C575D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图片模块工作量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22DB9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产品/美工</w:t>
            </w:r>
          </w:p>
        </w:tc>
      </w:tr>
      <w:tr w14:paraId="380B9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4247B6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接口边界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51A2E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MDM、PLM、ERP、CRM、OA等责任人和字段清单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7DF25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接口报价和联调计划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238EF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客户IT</w:t>
            </w:r>
          </w:p>
        </w:tc>
      </w:tr>
      <w:tr w14:paraId="504A6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BAC1EF0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BI口径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4861E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只做产品域报表，还是加入销售经营数据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F4473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报表开发和数据源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30E0C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管理层/IT</w:t>
            </w:r>
          </w:p>
        </w:tc>
      </w:tr>
      <w:tr w14:paraId="3E84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3034FB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3"/>
              </w:rPr>
              <w:t>验收方式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1E18DD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验收样本、验收负责人、验收报告模板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0D34B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尾款和上线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A9BB7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3"/>
              </w:rPr>
              <w:t>双方项目经理</w:t>
            </w:r>
          </w:p>
        </w:tc>
      </w:tr>
    </w:tbl>
    <w:p w14:paraId="5D4F7A0A">
      <w:pPr>
        <w:pStyle w:val="4"/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24"/>
        </w:rPr>
        <w:t>4.16 方案价值与商务表达口径</w:t>
      </w:r>
    </w:p>
    <w:p w14:paraId="3B348E8F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价值表达：</w:t>
      </w:r>
      <w:r>
        <w:rPr>
          <w:rFonts w:ascii="微软雅黑" w:hAnsi="微软雅黑" w:eastAsia="微软雅黑"/>
          <w:color w:val="1D344A"/>
          <w:sz w:val="16"/>
        </w:rPr>
        <w:t>本方案的价值不只是开发一套资料维护系统，而是把毅合捷产品数据从“人员经验和分散文件”升级为“可治理、可追溯、可发布、可复用”的产品主数据资产。报价接近百万时，客户更需要看到的是业务闭环、数据资产沉淀和实施可控性。</w:t>
      </w:r>
    </w:p>
    <w:p w14:paraId="1ACE9CCA">
      <w:pPr>
        <w:spacing w:before="80" w:after="100" w:line="271" w:lineRule="auto"/>
      </w:pPr>
      <w:r>
        <w:rPr>
          <w:rFonts w:ascii="微软雅黑" w:hAnsi="微软雅黑" w:eastAsia="微软雅黑"/>
          <w:b/>
          <w:color w:val="0C3459"/>
          <w:sz w:val="16"/>
        </w:rPr>
        <w:t>沟通口径：</w:t>
      </w:r>
      <w:r>
        <w:rPr>
          <w:rFonts w:ascii="微软雅黑" w:hAnsi="微软雅黑" w:eastAsia="微软雅黑"/>
          <w:color w:val="1D344A"/>
          <w:sz w:val="16"/>
        </w:rPr>
        <w:t>对客户沟通时，建议强调一期先把产品域主线打通，确保三库底座、清洗确认、产品匹配、目录输出、接口边界和权限审计可验收；历史全量清洗、第三方数据、深度系统集成和高可用部署按确认范围独立报价。</w:t>
      </w:r>
    </w:p>
    <w:p w14:paraId="2984EF81">
      <w:pPr>
        <w:spacing w:before="80" w:after="100" w:line="271" w:lineRule="auto"/>
      </w:pPr>
      <w:r>
        <w:rPr>
          <w:rFonts w:ascii="微软雅黑" w:hAnsi="微软雅黑" w:eastAsia="微软雅黑"/>
          <w:b w:val="0"/>
          <w:color w:val="1D344A"/>
          <w:sz w:val="16"/>
        </w:rPr>
        <w:t>内部口径：胡自强和技术团队需要明确，本方案不是按单点功能报价，而是按产品主数据平台整体建设报价。内部可按模块评估工作量，但对外以合并后的专业报价结构呈现。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6"/>
        <w:gridCol w:w="2596"/>
        <w:gridCol w:w="2561"/>
        <w:gridCol w:w="2561"/>
      </w:tblGrid>
      <w:tr w14:paraId="4EDB1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B875D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价值点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54B70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客户能感知的变化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2883F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方案中的支撑内容</w:t>
            </w:r>
          </w:p>
        </w:tc>
        <w:tc>
          <w:tcPr>
            <w:tcW w:w="36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2A4910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报价解释方式</w:t>
            </w:r>
          </w:p>
        </w:tc>
      </w:tr>
      <w:tr w14:paraId="4BE7E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481586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产品数据资产化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D594E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零件、商品、号码、车型、图片、目录不再分散维护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75B24D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三库模型、对象模型、字段和状态设计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D5CEE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平台建设核心价值</w:t>
            </w:r>
          </w:p>
        </w:tc>
      </w:tr>
      <w:tr w14:paraId="7F204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B9DBDC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产品部效率提升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809CE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问品、查号、查车型和历史复用更快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9D552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产品匹配工作台、批量查询、历史结果沉淀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43812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不是临时小工具，而是业务工作台</w:t>
            </w:r>
          </w:p>
        </w:tc>
      </w:tr>
      <w:tr w14:paraId="4982F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EA15AE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数据质量可治理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CA90F8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缺字段、冲突、重复和异常能被发现和分派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DF0B37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质量评分、异常清单、补全任务、治理看板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492B17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样本验证先行，全量清洗另计</w:t>
            </w:r>
          </w:p>
        </w:tc>
      </w:tr>
      <w:tr w14:paraId="3AE6E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8C871FA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对外发布更稳定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F2771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目录、官网、下单平台和MDM输出口径一致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D13C5A">
            <w:pPr>
              <w:spacing w:after="0" w:line="259" w:lineRule="auto"/>
            </w:pPr>
            <w:r>
              <w:rPr>
                <w:sz w:val="14"/>
              </w:rPr>
              <w:t>发布版本、字段授权、目录 PDF输出和接口日志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4DCA1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模板数量和承建边界需确认</w:t>
            </w:r>
          </w:p>
        </w:tc>
      </w:tr>
      <w:tr w14:paraId="2DB4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63F812A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风险边界可控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87886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哪些一期做、哪些二期做、哪些单独报价清楚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09F8E7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验收清单、扩展边界、风险决策项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1815B4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避免大包价和无限范围</w:t>
            </w:r>
          </w:p>
        </w:tc>
      </w:tr>
      <w:tr w14:paraId="6ED24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684791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实施过程可验收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05480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每个阶段都有文档、样本、测试和验收材料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2FC8B0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调研蓝图、原型、测试、培训、部署、验收报告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2C989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支撑项目管理和尾款验收</w:t>
            </w:r>
          </w:p>
        </w:tc>
      </w:tr>
      <w:tr w14:paraId="78966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06E19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1D344A"/>
                <w:sz w:val="14"/>
              </w:rPr>
              <w:t>后续持续运营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D8B982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第二年数据更新、运维和扩展有明确口径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EFEFA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数据资源续费、运维质保、接口和报表扩展</w:t>
            </w:r>
          </w:p>
        </w:tc>
        <w:tc>
          <w:tcPr>
            <w:tcW w:w="363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68D14B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1D344A"/>
                <w:sz w:val="14"/>
              </w:rPr>
              <w:t>长期服务与软件开发分开</w:t>
            </w:r>
          </w:p>
        </w:tc>
      </w:tr>
    </w:tbl>
    <w:p w14:paraId="24D387B1">
      <w:pPr>
        <w:spacing w:before="200" w:after="20"/>
      </w:pPr>
      <w:r>
        <w:rPr>
          <w:rFonts w:ascii="微软雅黑" w:hAnsi="微软雅黑" w:eastAsia="微软雅黑"/>
          <w:b/>
          <w:color w:val="0C3459"/>
        </w:rPr>
        <w:t>06 / 边界与待确认</w:t>
      </w:r>
    </w:p>
    <w:p w14:paraId="215AC1E7">
      <w:pPr>
        <w:pStyle w:val="3"/>
      </w:pPr>
      <w:r>
        <w:rPr>
          <w:rFonts w:ascii="微软雅黑" w:hAnsi="微软雅黑" w:eastAsia="微软雅黑"/>
          <w:b/>
          <w:color w:val="0C3459"/>
        </w:rPr>
        <w:t>6. 边界、前置条件与待确认</w:t>
      </w:r>
    </w:p>
    <w:tbl>
      <w:tblPr>
        <w:tblStyle w:val="32"/>
        <w:tblW w:w="9360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983"/>
      </w:tblGrid>
      <w:tr w14:paraId="3B1DC7FC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C3068A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边界项</w:t>
            </w:r>
          </w:p>
        </w:tc>
        <w:tc>
          <w:tcPr>
            <w:tcW w:w="6983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3C7512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处理方式</w:t>
            </w:r>
          </w:p>
        </w:tc>
      </w:tr>
      <w:tr w14:paraId="157164B8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6C6AD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历史数据清洗</w:t>
            </w:r>
          </w:p>
        </w:tc>
        <w:tc>
          <w:tcPr>
            <w:tcW w:w="6983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D76E5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工作量巨大，不应作为普通软件功能赠送；先做脱敏样本验证，再按数据量、复杂度、人工确认比例报价。</w:t>
            </w:r>
          </w:p>
        </w:tc>
      </w:tr>
      <w:tr w14:paraId="09371A55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641042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第三方费用</w:t>
            </w:r>
          </w:p>
        </w:tc>
        <w:tc>
          <w:tcPr>
            <w:tcW w:w="6983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DF553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商业数据、图片处理 SaaS、云资源、短信、邮件、证书、第三方 MDM 或相关授权均需单列或由客户自备。</w:t>
            </w:r>
          </w:p>
        </w:tc>
      </w:tr>
      <w:tr w14:paraId="656E56C4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4B52E07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PDE（原系统）替代</w:t>
            </w:r>
          </w:p>
        </w:tc>
        <w:tc>
          <w:tcPr>
            <w:tcW w:w="6983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B41DD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目前仅作为替代路径纳入方案，具体替代能力、历史数据迁移、保留/重构流程需调研后定价。</w:t>
            </w:r>
          </w:p>
        </w:tc>
      </w:tr>
      <w:tr w14:paraId="1CD22642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C6AC9D8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移动端</w:t>
            </w:r>
          </w:p>
        </w:tc>
        <w:tc>
          <w:tcPr>
            <w:tcW w:w="6983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FD29B7F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一期仅建议支持单品查询移动端；后台管理、清洗、批量维护、复杂报表仍以 PC 办公端为主。</w:t>
            </w:r>
          </w:p>
        </w:tc>
      </w:tr>
      <w:tr w14:paraId="4EBBEE4C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C77A46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集成责任</w:t>
            </w:r>
          </w:p>
        </w:tc>
        <w:tc>
          <w:tcPr>
            <w:tcW w:w="6983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2B3E22B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宜配负责产品域平台和承建应用联通；PLM、ERP、MES、WMS、CRM、OA 等非宜配系统原则上通过 MDM 对接。</w:t>
            </w:r>
          </w:p>
        </w:tc>
      </w:tr>
    </w:tbl>
    <w:p w14:paraId="6A04056A">
      <w:pPr>
        <w:spacing w:after="60"/>
      </w:pPr>
    </w:p>
    <w:p w14:paraId="3C1919FE">
      <w:pPr>
        <w:pStyle w:val="4"/>
      </w:pPr>
      <w:r>
        <w:rPr>
          <w:rFonts w:ascii="微软雅黑" w:hAnsi="微软雅黑" w:eastAsia="微软雅黑"/>
          <w:b/>
          <w:color w:val="0C3459"/>
        </w:rPr>
        <w:t>6.1 客户需提供资料</w:t>
      </w:r>
    </w:p>
    <w:tbl>
      <w:tblPr>
        <w:tblStyle w:val="32"/>
        <w:tblW w:w="9360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6480"/>
      </w:tblGrid>
      <w:tr w14:paraId="64AE0511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218F92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资料</w:t>
            </w:r>
          </w:p>
        </w:tc>
        <w:tc>
          <w:tcPr>
            <w:tcW w:w="6480" w:type="dxa"/>
            <w:shd w:val="clear" w:color="auto" w:fill="E9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CE5347">
            <w:pPr>
              <w:spacing w:after="0" w:line="26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7"/>
              </w:rPr>
              <w:t>用途</w:t>
            </w:r>
          </w:p>
        </w:tc>
      </w:tr>
      <w:tr w14:paraId="287E79FA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62BBAD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100 条以上脱敏样本</w:t>
            </w:r>
          </w:p>
        </w:tc>
        <w:tc>
          <w:tcPr>
            <w:tcW w:w="64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936E3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验证号码、车型、OE、竞品、商品/零件关系和清洗工作量</w:t>
            </w:r>
          </w:p>
        </w:tc>
      </w:tr>
      <w:tr w14:paraId="6F746982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0F4E9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PLM/ERP/MDM 字段与接口资料</w:t>
            </w:r>
          </w:p>
        </w:tc>
        <w:tc>
          <w:tcPr>
            <w:tcW w:w="64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D79DF1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确认权威来源、同步方向、频率、鉴权和联调责任</w:t>
            </w:r>
          </w:p>
        </w:tc>
      </w:tr>
      <w:tr w14:paraId="789B41D5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9B5C95A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现有 PDE（原系统）截图、字段、流程、数据导出</w:t>
            </w:r>
          </w:p>
        </w:tc>
        <w:tc>
          <w:tcPr>
            <w:tcW w:w="64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AA23BD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判断替代范围、迁移范围和保留/重构流程</w:t>
            </w:r>
          </w:p>
        </w:tc>
      </w:tr>
      <w:tr w14:paraId="17907155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BC1B7E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产品图片、图纸、附件、目录模板样例</w:t>
            </w:r>
          </w:p>
        </w:tc>
        <w:tc>
          <w:tcPr>
            <w:tcW w:w="64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EC0481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确认图片分组、授权、输出模板和目录生成规则</w:t>
            </w:r>
          </w:p>
        </w:tc>
      </w:tr>
      <w:tr w14:paraId="6B2FDF4E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619D69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编码/BOM 样例</w:t>
            </w:r>
          </w:p>
        </w:tc>
        <w:tc>
          <w:tcPr>
            <w:tcW w:w="64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B3AF06C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确认 JR 号、三段码、四段码、BOM 头和层级关系</w:t>
            </w:r>
          </w:p>
        </w:tc>
      </w:tr>
      <w:tr w14:paraId="6D74031D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031B23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权限角色与组织结构</w:t>
            </w:r>
          </w:p>
        </w:tc>
        <w:tc>
          <w:tcPr>
            <w:tcW w:w="64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13B710">
            <w:pPr>
              <w:spacing w:after="0" w:line="269" w:lineRule="auto"/>
            </w:pPr>
            <w:r>
              <w:rPr>
                <w:rFonts w:ascii="微软雅黑" w:hAnsi="微软雅黑" w:eastAsia="微软雅黑"/>
                <w:b w:val="0"/>
                <w:color w:val="0E2337"/>
                <w:sz w:val="18"/>
              </w:rPr>
              <w:t>确认功能、字段、客户号、附件、导出和日志权限</w:t>
            </w:r>
          </w:p>
        </w:tc>
      </w:tr>
    </w:tbl>
    <w:p w14:paraId="76F797B0">
      <w:pPr>
        <w:spacing w:after="60"/>
      </w:pPr>
    </w:p>
    <w:p w14:paraId="5655C6AB">
      <w:p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2240" w:h="15840"/>
          <w:pgMar w:top="1037" w:right="1123" w:bottom="1037" w:left="1123" w:header="403" w:footer="403" w:gutter="0"/>
          <w:cols w:space="720" w:num="1"/>
          <w:docGrid w:linePitch="360" w:charSpace="0"/>
        </w:sectPr>
      </w:pPr>
    </w:p>
    <w:p w14:paraId="305FE3FF">
      <w:pPr>
        <w:spacing w:before="200" w:after="20"/>
      </w:pPr>
      <w:r>
        <w:rPr>
          <w:rFonts w:ascii="微软雅黑" w:hAnsi="微软雅黑" w:eastAsia="微软雅黑"/>
          <w:b/>
          <w:color w:val="0C3459"/>
        </w:rPr>
        <w:t>07 / 报价与费用汇总</w:t>
      </w:r>
    </w:p>
    <w:p w14:paraId="1A2CC0D7">
      <w:pPr>
        <w:pStyle w:val="3"/>
      </w:pPr>
      <w:r>
        <w:rPr>
          <w:rFonts w:ascii="微软雅黑" w:hAnsi="微软雅黑" w:eastAsia="微软雅黑"/>
          <w:b/>
          <w:color w:val="0C3459"/>
        </w:rPr>
        <w:t>7. 报价与费用汇总</w:t>
      </w:r>
    </w:p>
    <w:tbl>
      <w:tblPr>
        <w:tblStyle w:val="32"/>
        <w:tblW w:w="9144" w:type="dxa"/>
        <w:jc w:val="center"/>
        <w:tblBorders>
          <w:top w:val="single" w:color="C9D5E2" w:sz="6" w:space="0"/>
          <w:left w:val="single" w:color="C9D5E2" w:sz="6" w:space="0"/>
          <w:bottom w:val="single" w:color="C9D5E2" w:sz="6" w:space="0"/>
          <w:right w:val="single" w:color="C9D5E2" w:sz="6" w:space="0"/>
          <w:insideH w:val="single" w:color="C9D5E2" w:sz="6" w:space="0"/>
          <w:insideV w:val="single" w:color="C9D5E2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4"/>
      </w:tblGrid>
      <w:tr w14:paraId="40E1510F">
        <w:tblPrEx>
          <w:tblBorders>
            <w:top w:val="single" w:color="C9D5E2" w:sz="6" w:space="0"/>
            <w:left w:val="single" w:color="C9D5E2" w:sz="6" w:space="0"/>
            <w:bottom w:val="single" w:color="C9D5E2" w:sz="6" w:space="0"/>
            <w:right w:val="single" w:color="C9D5E2" w:sz="6" w:space="0"/>
            <w:insideH w:val="single" w:color="C9D5E2" w:sz="6" w:space="0"/>
            <w:insideV w:val="single" w:color="C9D5E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44" w:type="dxa"/>
            <w:shd w:val="clear" w:color="auto" w:fill="FFF8E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75E72B3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6"/>
              </w:rPr>
              <w:t>以下报价按客户沟通口径合并呈现，金额统一按含税报价口径处理。需求细节在 4.1 核心需求展开中保留，软件平台统一按定制开发口径报价，便于范围确认和商务沟通。</w:t>
            </w:r>
          </w:p>
        </w:tc>
      </w:tr>
    </w:tbl>
    <w:p w14:paraId="2E0AF92C">
      <w:pPr>
        <w:spacing w:after="40"/>
      </w:pPr>
    </w:p>
    <w:p w14:paraId="2B50075C">
      <w:pPr>
        <w:keepNext/>
        <w:spacing w:after="60"/>
        <w:jc w:val="center"/>
      </w:pPr>
      <w:r>
        <w:rPr>
          <w:rFonts w:ascii="微软雅黑" w:hAnsi="微软雅黑" w:eastAsia="微软雅黑"/>
          <w:b/>
          <w:color w:val="146F63"/>
          <w:sz w:val="19"/>
        </w:rPr>
        <w:t>图：报价结构</w:t>
      </w:r>
    </w:p>
    <w:p w14:paraId="06113D33">
      <w:pPr>
        <w:jc w:val="center"/>
      </w:pPr>
      <w:r>
        <w:drawing>
          <wp:inline distT="0" distB="0" distL="114300" distR="114300">
            <wp:extent cx="8412480" cy="4579620"/>
            <wp:effectExtent l="0" t="0" r="7620" b="11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458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F52A8">
      <w:pPr>
        <w:jc w:val="center"/>
      </w:pPr>
      <w:r>
        <w:rPr>
          <w:color w:val="5A6978"/>
          <w:sz w:val="18"/>
        </w:rPr>
        <w:t>（见 附件 图7-1-报价结构.png）</w:t>
      </w:r>
    </w:p>
    <w:p w14:paraId="082930BF">
      <w:pPr>
        <w:pStyle w:val="4"/>
      </w:pPr>
      <w:r>
        <w:rPr>
          <w:rFonts w:ascii="微软雅黑" w:hAnsi="微软雅黑" w:eastAsia="微软雅黑"/>
          <w:b/>
          <w:color w:val="0C3459"/>
        </w:rPr>
        <w:t>7.1 合并报价主表</w:t>
      </w:r>
    </w:p>
    <w:tbl>
      <w:tblPr>
        <w:tblStyle w:val="32"/>
        <w:tblW w:w="14112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2880"/>
        <w:gridCol w:w="2232"/>
        <w:gridCol w:w="1512"/>
        <w:gridCol w:w="1080"/>
        <w:gridCol w:w="1080"/>
        <w:gridCol w:w="1080"/>
        <w:gridCol w:w="1584"/>
      </w:tblGrid>
      <w:tr w14:paraId="71C41AD8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12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9C367A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报价类目</w:t>
            </w:r>
          </w:p>
        </w:tc>
        <w:tc>
          <w:tcPr>
            <w:tcW w:w="2880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4BF2D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包含内容</w:t>
            </w:r>
          </w:p>
        </w:tc>
        <w:tc>
          <w:tcPr>
            <w:tcW w:w="2232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EA8A2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主要交付物/验收</w:t>
            </w:r>
          </w:p>
        </w:tc>
        <w:tc>
          <w:tcPr>
            <w:tcW w:w="1512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BCC6EC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报价口径</w:t>
            </w:r>
          </w:p>
        </w:tc>
        <w:tc>
          <w:tcPr>
            <w:tcW w:w="1080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B5B7B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数量/人天</w:t>
            </w:r>
          </w:p>
        </w:tc>
        <w:tc>
          <w:tcPr>
            <w:tcW w:w="1080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0DAF3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单价</w:t>
            </w:r>
          </w:p>
        </w:tc>
        <w:tc>
          <w:tcPr>
            <w:tcW w:w="1080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6326B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小计</w:t>
            </w:r>
          </w:p>
        </w:tc>
        <w:tc>
          <w:tcPr>
            <w:tcW w:w="1584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BE110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备注</w:t>
            </w:r>
          </w:p>
        </w:tc>
      </w:tr>
      <w:tr w14:paraId="3031E991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FC6B86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调研、蓝图与原型设计</w:t>
            </w:r>
          </w:p>
        </w:tc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8A26D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业务访谈、现状系统梳理、PDE（原系统）/PLM/ERP/MDM边界、目标流程、数据模型、接口边界、权限模型、一期 MVP（第一阶段可验收版本）范围、关键页面原型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DEB20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调研纪要、问题清单、现状流程图、蓝图方案、数据模型、一期 MVP（第一阶段可验收版本）清单、需求响应矩阵、原型稿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043A53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阶段服务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B417A7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20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24072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3000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140ED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¥60,000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C6165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覆盖业务现状诊断、目标蓝图规划、关键页面原型及交互方案设计</w:t>
            </w:r>
          </w:p>
        </w:tc>
      </w:tr>
      <w:tr w14:paraId="48DE993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EF409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产品主数据平台定制开发</w:t>
            </w:r>
          </w:p>
        </w:tc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BF2D1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覆盖供应库、零件库、商品库、编码/BOM、车型适配、质量治理、产品匹配工作台、图片附件、目录输出、BI、权限日志及产品域接口等核心平台能力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2D2F73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可测试系统、核心业务闭环、后台任务、接口服务、主要页面与导出能力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428B0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定制开发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E1407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230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F552C5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3000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F6B08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¥690,000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04B4D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按整体平台建设范围报价，内部工作量不再按功能点拆分呈现</w:t>
            </w:r>
          </w:p>
        </w:tc>
      </w:tr>
      <w:tr w14:paraId="1D5F38CB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C33841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数据治理与清洗服务</w:t>
            </w:r>
          </w:p>
        </w:tc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906B86E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样本验证、清洗规则、老数据验证、大批量清洗可行性、异常清单、待确认流程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D0A43C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样本验证报告、可行性评估、异常清单、人工确认比例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B9ACA3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数据服务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05964F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6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77184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3000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7A84B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¥18,000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45FBDA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老数据验证与大批量清洗可行性评估，历史全量清洗另行报价</w:t>
            </w:r>
          </w:p>
        </w:tc>
      </w:tr>
      <w:tr w14:paraId="64ADFE91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B42B6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测试、培训、文档与交付保障</w:t>
            </w:r>
          </w:p>
        </w:tc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CAEE71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功能测试、接口测试、数据测试、权限测试、培训、操作手册、接口文档、验收报告、计划、例会、风险、范围、进度、验收协同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F2828A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测试用例、测试报告、培训课件、文档包、验收材料、周报、会议纪要、风险清单、验收协同记录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54D25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交付保障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B95D25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31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84CFED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3000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F999C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¥93,000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4549B2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合并测试、培训、文档交付与项目管理；不含动态实施支持</w:t>
            </w:r>
          </w:p>
        </w:tc>
      </w:tr>
      <w:tr w14:paraId="6A172E0C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4DCBF9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实施支持（动态）</w:t>
            </w:r>
          </w:p>
        </w:tc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D60A4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环境部署、配置初始化、数据导入、接口联调、上线切换、现场或远程实施支持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28A24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部署记录、联调记录、上线切换记录、实施问题清单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EBD346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动态实施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125270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暂估20（2人×10天）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C2477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3000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4D48FE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¥60,000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651D30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暂按2人10天列示，最终按实际发生人天结算；固定合计不含此动态项</w:t>
            </w:r>
          </w:p>
        </w:tc>
      </w:tr>
      <w:tr w14:paraId="779BF06C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601E5E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运维质保</w:t>
            </w:r>
          </w:p>
        </w:tc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4C4E28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质保期、远程支持、问题响应、后续维护</w:t>
            </w:r>
          </w:p>
        </w:tc>
        <w:tc>
          <w:tcPr>
            <w:tcW w:w="223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9B53115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服务范围、响应时间、质保周期</w:t>
            </w:r>
          </w:p>
        </w:tc>
        <w:tc>
          <w:tcPr>
            <w:tcW w:w="151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DE5F6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年度服务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A32C6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0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E9F54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-</w:t>
            </w:r>
          </w:p>
        </w:tc>
        <w:tc>
          <w:tcPr>
            <w:tcW w:w="1080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A70C79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6252D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首年质保期内免运维费，第二年起按固定软件/服务费用的10%/年计取服务费</w:t>
            </w:r>
          </w:p>
        </w:tc>
      </w:tr>
      <w:tr w14:paraId="59AD8576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2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C1AD9D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软件/固定服务合计</w:t>
            </w:r>
          </w:p>
        </w:tc>
        <w:tc>
          <w:tcPr>
            <w:tcW w:w="2880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A671333">
            <w:pPr>
              <w:spacing w:after="0" w:line="259" w:lineRule="auto"/>
            </w:pPr>
          </w:p>
        </w:tc>
        <w:tc>
          <w:tcPr>
            <w:tcW w:w="2232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0A797C">
            <w:pPr>
              <w:spacing w:after="0" w:line="259" w:lineRule="auto"/>
            </w:pPr>
          </w:p>
        </w:tc>
        <w:tc>
          <w:tcPr>
            <w:tcW w:w="1512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2AD57DC">
            <w:pPr>
              <w:spacing w:after="0" w:line="259" w:lineRule="auto"/>
            </w:pPr>
          </w:p>
        </w:tc>
        <w:tc>
          <w:tcPr>
            <w:tcW w:w="1080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513DD0">
            <w:pPr>
              <w:spacing w:after="0" w:line="259" w:lineRule="auto"/>
              <w:jc w:val="center"/>
            </w:pPr>
          </w:p>
        </w:tc>
        <w:tc>
          <w:tcPr>
            <w:tcW w:w="1080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FBAA6D">
            <w:pPr>
              <w:spacing w:after="0" w:line="259" w:lineRule="auto"/>
              <w:jc w:val="center"/>
            </w:pPr>
          </w:p>
        </w:tc>
        <w:tc>
          <w:tcPr>
            <w:tcW w:w="1080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81A74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¥861,000</w:t>
            </w:r>
          </w:p>
        </w:tc>
        <w:tc>
          <w:tcPr>
            <w:tcW w:w="158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33292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不含动态实施支持、宜配数据资源服务和第三方费用；首年运维质保费为0</w:t>
            </w:r>
          </w:p>
        </w:tc>
      </w:tr>
    </w:tbl>
    <w:p w14:paraId="59657CFE">
      <w:pPr>
        <w:spacing w:after="60"/>
      </w:pPr>
    </w:p>
    <w:p w14:paraId="512D3458">
      <w:pPr>
        <w:pStyle w:val="4"/>
      </w:pPr>
      <w:r>
        <w:rPr>
          <w:rFonts w:ascii="微软雅黑" w:hAnsi="微软雅黑" w:eastAsia="微软雅黑"/>
          <w:b/>
          <w:color w:val="0C3459"/>
        </w:rPr>
        <w:t>7.2 宜配数据资源服务</w:t>
      </w:r>
    </w:p>
    <w:tbl>
      <w:tblPr>
        <w:tblStyle w:val="32"/>
        <w:tblW w:w="14396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3384"/>
        <w:gridCol w:w="1440"/>
        <w:gridCol w:w="2015"/>
        <w:gridCol w:w="1036"/>
        <w:gridCol w:w="1036"/>
        <w:gridCol w:w="1036"/>
        <w:gridCol w:w="1152"/>
        <w:gridCol w:w="1454"/>
      </w:tblGrid>
      <w:tr w14:paraId="15385BC4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43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FEDDB3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报价项</w:t>
            </w:r>
          </w:p>
        </w:tc>
        <w:tc>
          <w:tcPr>
            <w:tcW w:w="3384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32307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包含内容</w:t>
            </w:r>
          </w:p>
        </w:tc>
        <w:tc>
          <w:tcPr>
            <w:tcW w:w="1440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C16E75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服务类型</w:t>
            </w:r>
          </w:p>
        </w:tc>
        <w:tc>
          <w:tcPr>
            <w:tcW w:w="2015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518CC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前置条件</w:t>
            </w:r>
          </w:p>
        </w:tc>
        <w:tc>
          <w:tcPr>
            <w:tcW w:w="10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C9717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服务周期</w:t>
            </w:r>
          </w:p>
        </w:tc>
        <w:tc>
          <w:tcPr>
            <w:tcW w:w="10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655F3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首年价格</w:t>
            </w:r>
          </w:p>
        </w:tc>
        <w:tc>
          <w:tcPr>
            <w:tcW w:w="1036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D768B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第二年价格</w:t>
            </w:r>
          </w:p>
        </w:tc>
        <w:tc>
          <w:tcPr>
            <w:tcW w:w="1152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2228E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状态</w:t>
            </w:r>
          </w:p>
        </w:tc>
        <w:tc>
          <w:tcPr>
            <w:tcW w:w="1454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404DB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备注</w:t>
            </w:r>
          </w:p>
        </w:tc>
      </w:tr>
      <w:tr w14:paraId="484E76A7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A0EAA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宜配数据资源服务-欧洲品牌数据</w:t>
            </w:r>
          </w:p>
        </w:tc>
        <w:tc>
          <w:tcPr>
            <w:tcW w:w="33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0FD042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欧洲品牌产品数据资源服务，含约定范围内的数据资源调用或交付</w:t>
            </w:r>
          </w:p>
        </w:tc>
        <w:tc>
          <w:tcPr>
            <w:tcW w:w="144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61840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数据资源服务</w:t>
            </w:r>
          </w:p>
        </w:tc>
        <w:tc>
          <w:tcPr>
            <w:tcW w:w="201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443277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资源范围、授权口径、调用量、更新频率确认</w:t>
            </w:r>
          </w:p>
        </w:tc>
        <w:tc>
          <w:tcPr>
            <w:tcW w:w="1036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FBFED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1年</w:t>
            </w:r>
          </w:p>
        </w:tc>
        <w:tc>
          <w:tcPr>
            <w:tcW w:w="1036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94E9A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60000</w:t>
            </w:r>
          </w:p>
        </w:tc>
        <w:tc>
          <w:tcPr>
            <w:tcW w:w="1036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4C42A4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60000/年</w:t>
            </w:r>
          </w:p>
        </w:tc>
        <w:tc>
          <w:tcPr>
            <w:tcW w:w="1152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4FB2C8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单独报价</w:t>
            </w:r>
          </w:p>
        </w:tc>
        <w:tc>
          <w:tcPr>
            <w:tcW w:w="145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1E43E3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欧洲第二年仍按 60,000 元/年</w:t>
            </w:r>
          </w:p>
        </w:tc>
      </w:tr>
      <w:tr w14:paraId="2EB90076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948102F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宜配数据资源服务-北美竞品数据</w:t>
            </w:r>
          </w:p>
        </w:tc>
        <w:tc>
          <w:tcPr>
            <w:tcW w:w="33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38716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北美竞品数据资源服务，竞品范围由客户指定</w:t>
            </w:r>
          </w:p>
        </w:tc>
        <w:tc>
          <w:tcPr>
            <w:tcW w:w="144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B3E4F3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数据资源服务</w:t>
            </w:r>
          </w:p>
        </w:tc>
        <w:tc>
          <w:tcPr>
            <w:tcW w:w="2015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AAF68B8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客户指定北美竞品清单（TOP5）</w:t>
            </w:r>
          </w:p>
        </w:tc>
        <w:tc>
          <w:tcPr>
            <w:tcW w:w="1036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1D0118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1年</w:t>
            </w:r>
          </w:p>
        </w:tc>
        <w:tc>
          <w:tcPr>
            <w:tcW w:w="1036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3425A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80000</w:t>
            </w:r>
          </w:p>
        </w:tc>
        <w:tc>
          <w:tcPr>
            <w:tcW w:w="1036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B5C498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8000/年</w:t>
            </w:r>
          </w:p>
        </w:tc>
        <w:tc>
          <w:tcPr>
            <w:tcW w:w="1152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C4852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单独报价</w:t>
            </w:r>
          </w:p>
        </w:tc>
        <w:tc>
          <w:tcPr>
            <w:tcW w:w="145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293617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北美第二年更新费按首年 10%</w:t>
            </w:r>
          </w:p>
        </w:tc>
      </w:tr>
      <w:tr w14:paraId="068A3C15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CCA81C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宜配数据资源服务首年合计</w:t>
            </w:r>
          </w:p>
        </w:tc>
        <w:tc>
          <w:tcPr>
            <w:tcW w:w="338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2A13E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欧洲品牌数据 + 北美竞品数据</w:t>
            </w:r>
          </w:p>
        </w:tc>
        <w:tc>
          <w:tcPr>
            <w:tcW w:w="1440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965C1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数据资源服务</w:t>
            </w:r>
          </w:p>
        </w:tc>
        <w:tc>
          <w:tcPr>
            <w:tcW w:w="2015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D5E3E3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不并入软件/实施合计</w:t>
            </w:r>
          </w:p>
        </w:tc>
        <w:tc>
          <w:tcPr>
            <w:tcW w:w="1036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187EB18">
            <w:pPr>
              <w:spacing w:after="0" w:line="259" w:lineRule="auto"/>
              <w:jc w:val="center"/>
            </w:pPr>
          </w:p>
        </w:tc>
        <w:tc>
          <w:tcPr>
            <w:tcW w:w="1036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85CB1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¥140,000</w:t>
            </w:r>
          </w:p>
        </w:tc>
        <w:tc>
          <w:tcPr>
            <w:tcW w:w="1036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99497EF">
            <w:pPr>
              <w:spacing w:after="0" w:line="259" w:lineRule="auto"/>
              <w:jc w:val="center"/>
            </w:pPr>
          </w:p>
        </w:tc>
        <w:tc>
          <w:tcPr>
            <w:tcW w:w="1152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B0A16A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单独报价</w:t>
            </w:r>
          </w:p>
        </w:tc>
        <w:tc>
          <w:tcPr>
            <w:tcW w:w="145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E37C5C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首年预算参考计入，合同可单列</w:t>
            </w:r>
          </w:p>
        </w:tc>
      </w:tr>
      <w:tr w14:paraId="4895E4E1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3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F42A1A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第二年数据资源费用</w:t>
            </w:r>
          </w:p>
        </w:tc>
        <w:tc>
          <w:tcPr>
            <w:tcW w:w="338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2D6C0E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欧洲品牌数据续费 + 北美竞品数据更新费</w:t>
            </w:r>
          </w:p>
        </w:tc>
        <w:tc>
          <w:tcPr>
            <w:tcW w:w="1440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6D318F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数据资源服务</w:t>
            </w:r>
          </w:p>
        </w:tc>
        <w:tc>
          <w:tcPr>
            <w:tcW w:w="2015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C28C565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按年度服务续约</w:t>
            </w:r>
          </w:p>
        </w:tc>
        <w:tc>
          <w:tcPr>
            <w:tcW w:w="1036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2B1243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1年</w:t>
            </w:r>
          </w:p>
        </w:tc>
        <w:tc>
          <w:tcPr>
            <w:tcW w:w="1036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36DBB9">
            <w:pPr>
              <w:spacing w:after="0" w:line="259" w:lineRule="auto"/>
              <w:jc w:val="center"/>
            </w:pPr>
          </w:p>
        </w:tc>
        <w:tc>
          <w:tcPr>
            <w:tcW w:w="1036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499DD8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¥68,000/年</w:t>
            </w:r>
          </w:p>
        </w:tc>
        <w:tc>
          <w:tcPr>
            <w:tcW w:w="1152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ED06F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单独报价</w:t>
            </w:r>
          </w:p>
        </w:tc>
        <w:tc>
          <w:tcPr>
            <w:tcW w:w="145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92C2CE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欧洲 60,000 元/年 + 北美 8,000 元/年</w:t>
            </w:r>
          </w:p>
        </w:tc>
      </w:tr>
    </w:tbl>
    <w:p w14:paraId="19FC8AF5">
      <w:pPr>
        <w:spacing w:after="60"/>
      </w:pPr>
    </w:p>
    <w:p w14:paraId="3AAC8687">
      <w:pPr>
        <w:pStyle w:val="4"/>
        <w:pageBreakBefore/>
      </w:pPr>
      <w:r>
        <w:rPr>
          <w:rFonts w:ascii="微软雅黑" w:hAnsi="微软雅黑" w:eastAsia="微软雅黑"/>
          <w:b/>
          <w:color w:val="0C3459"/>
        </w:rPr>
        <w:t>7.3 汇总报价</w:t>
      </w:r>
    </w:p>
    <w:tbl>
      <w:tblPr>
        <w:tblStyle w:val="32"/>
        <w:tblW w:w="9360" w:type="dxa"/>
        <w:jc w:val="center"/>
        <w:tblBorders>
          <w:top w:val="single" w:color="D0D7E2" w:sz="4" w:space="0"/>
          <w:left w:val="single" w:color="D0D7E2" w:sz="4" w:space="0"/>
          <w:bottom w:val="single" w:color="D0D7E2" w:sz="4" w:space="0"/>
          <w:right w:val="single" w:color="D0D7E2" w:sz="4" w:space="0"/>
          <w:insideH w:val="single" w:color="D0D7E2" w:sz="4" w:space="0"/>
          <w:insideV w:val="single" w:color="D0D7E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1584"/>
        <w:gridCol w:w="1584"/>
        <w:gridCol w:w="1728"/>
      </w:tblGrid>
      <w:tr w14:paraId="761A7A3B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80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1520ED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报价大类</w:t>
            </w:r>
          </w:p>
        </w:tc>
        <w:tc>
          <w:tcPr>
            <w:tcW w:w="1584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BC63A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小计</w:t>
            </w:r>
          </w:p>
        </w:tc>
        <w:tc>
          <w:tcPr>
            <w:tcW w:w="1584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68A1C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备注</w:t>
            </w:r>
          </w:p>
        </w:tc>
        <w:tc>
          <w:tcPr>
            <w:tcW w:w="1728" w:type="dxa"/>
            <w:shd w:val="clear" w:color="auto" w:fill="EAF0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C3630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5"/>
              </w:rPr>
              <w:t>报价说明</w:t>
            </w:r>
          </w:p>
        </w:tc>
      </w:tr>
      <w:tr w14:paraId="0BA4C5CE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3BB2E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调研、蓝图与原型设计</w:t>
            </w:r>
          </w:p>
        </w:tc>
        <w:tc>
          <w:tcPr>
            <w:tcW w:w="1584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865116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¥60,000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A6A9F5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业务诊断、蓝图规划、关键原型</w:t>
            </w:r>
          </w:p>
        </w:tc>
        <w:tc>
          <w:tcPr>
            <w:tcW w:w="17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A12D9B">
            <w:pPr>
              <w:spacing w:after="0" w:line="259" w:lineRule="auto"/>
              <w:jc w:val="center"/>
            </w:pPr>
          </w:p>
        </w:tc>
      </w:tr>
      <w:tr w14:paraId="4485323D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2548CD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产品主数据平台定制开发</w:t>
            </w:r>
          </w:p>
        </w:tc>
        <w:tc>
          <w:tcPr>
            <w:tcW w:w="1584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8C8AF4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¥690,000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EED7FA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整体平台建设范围，内部不拆功能点</w:t>
            </w:r>
          </w:p>
        </w:tc>
        <w:tc>
          <w:tcPr>
            <w:tcW w:w="17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6CDD8F">
            <w:pPr>
              <w:spacing w:after="0" w:line="259" w:lineRule="auto"/>
              <w:jc w:val="center"/>
            </w:pPr>
          </w:p>
        </w:tc>
      </w:tr>
      <w:tr w14:paraId="2E2C3BB1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8A13A1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数据治理与清洗服务</w:t>
            </w:r>
          </w:p>
        </w:tc>
        <w:tc>
          <w:tcPr>
            <w:tcW w:w="1584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D2B5997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¥18,000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77B9EB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样本验证、老数据验证、大批量清洗可行性评估；历史全量清洗另行报价</w:t>
            </w:r>
          </w:p>
        </w:tc>
        <w:tc>
          <w:tcPr>
            <w:tcW w:w="17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60C17F">
            <w:pPr>
              <w:spacing w:after="0" w:line="259" w:lineRule="auto"/>
              <w:jc w:val="center"/>
            </w:pPr>
          </w:p>
        </w:tc>
      </w:tr>
      <w:tr w14:paraId="1E421815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161FDBB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测试、培训、文档与交付保障</w:t>
            </w:r>
          </w:p>
        </w:tc>
        <w:tc>
          <w:tcPr>
            <w:tcW w:w="1584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D365B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¥93,000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E610DFA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测试、培训、文档、项目协同；不含动态实施</w:t>
            </w:r>
          </w:p>
        </w:tc>
        <w:tc>
          <w:tcPr>
            <w:tcW w:w="17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F1B5487">
            <w:pPr>
              <w:spacing w:after="0" w:line="259" w:lineRule="auto"/>
              <w:jc w:val="center"/>
            </w:pPr>
          </w:p>
        </w:tc>
      </w:tr>
      <w:tr w14:paraId="70DA7243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2FEDC0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实施支持（动态）</w:t>
            </w:r>
          </w:p>
        </w:tc>
        <w:tc>
          <w:tcPr>
            <w:tcW w:w="1584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195AE0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¥60,000（暂估）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1272EA1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暂按2人×10天测算，最终按实际发生人天结算</w:t>
            </w:r>
          </w:p>
        </w:tc>
        <w:tc>
          <w:tcPr>
            <w:tcW w:w="17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B5B2BD">
            <w:pPr>
              <w:spacing w:after="0" w:line="259" w:lineRule="auto"/>
              <w:jc w:val="center"/>
            </w:pPr>
          </w:p>
        </w:tc>
      </w:tr>
      <w:tr w14:paraId="027B2A62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16B593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运维质保</w:t>
            </w:r>
          </w:p>
        </w:tc>
        <w:tc>
          <w:tcPr>
            <w:tcW w:w="1584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76E262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70518D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首年免；第二年起按固定软件/服务费10%/年</w:t>
            </w:r>
          </w:p>
        </w:tc>
        <w:tc>
          <w:tcPr>
            <w:tcW w:w="17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410F5BE">
            <w:pPr>
              <w:spacing w:after="0" w:line="259" w:lineRule="auto"/>
              <w:jc w:val="center"/>
            </w:pPr>
          </w:p>
        </w:tc>
      </w:tr>
      <w:tr w14:paraId="76335390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6D15D2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软件/固定服务合计</w:t>
            </w:r>
          </w:p>
        </w:tc>
        <w:tc>
          <w:tcPr>
            <w:tcW w:w="158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DE96E43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¥861,000</w:t>
            </w:r>
          </w:p>
        </w:tc>
        <w:tc>
          <w:tcPr>
            <w:tcW w:w="158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ED2BB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不含动态实施、数据资源和第三方费用</w:t>
            </w:r>
          </w:p>
        </w:tc>
        <w:tc>
          <w:tcPr>
            <w:tcW w:w="1728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37C5B1">
            <w:pPr>
              <w:spacing w:after="0" w:line="259" w:lineRule="auto"/>
              <w:jc w:val="center"/>
            </w:pPr>
          </w:p>
        </w:tc>
      </w:tr>
      <w:tr w14:paraId="17936E13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2613DDA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宜配数据资源服务（首年单独报价）</w:t>
            </w:r>
          </w:p>
        </w:tc>
        <w:tc>
          <w:tcPr>
            <w:tcW w:w="1584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855198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¥140,000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2A57FC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欧洲60,000元/年 + 北美80,000元/年</w:t>
            </w:r>
          </w:p>
        </w:tc>
        <w:tc>
          <w:tcPr>
            <w:tcW w:w="17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88AA771">
            <w:pPr>
              <w:spacing w:after="0" w:line="259" w:lineRule="auto"/>
              <w:jc w:val="center"/>
            </w:pPr>
          </w:p>
        </w:tc>
      </w:tr>
      <w:tr w14:paraId="7956B980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5C64B1C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第二年数据资源费用</w:t>
            </w:r>
          </w:p>
        </w:tc>
        <w:tc>
          <w:tcPr>
            <w:tcW w:w="1584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0C70D7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¥68,000/年</w:t>
            </w: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B31E07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欧洲60,000元/年 + 北美8,000元/年</w:t>
            </w:r>
          </w:p>
        </w:tc>
        <w:tc>
          <w:tcPr>
            <w:tcW w:w="17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B296B9">
            <w:pPr>
              <w:spacing w:after="0" w:line="259" w:lineRule="auto"/>
              <w:jc w:val="center"/>
            </w:pPr>
          </w:p>
        </w:tc>
      </w:tr>
      <w:tr w14:paraId="33CE5479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D42764">
            <w:pPr>
              <w:spacing w:after="0" w:line="259" w:lineRule="auto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第三方费用</w:t>
            </w:r>
          </w:p>
        </w:tc>
        <w:tc>
          <w:tcPr>
            <w:tcW w:w="1584" w:type="dxa"/>
            <w:shd w:val="clear" w:color="auto" w:fill="FFF2C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2DAA1F">
            <w:pPr>
              <w:spacing w:after="0" w:line="259" w:lineRule="auto"/>
              <w:jc w:val="center"/>
            </w:pPr>
          </w:p>
        </w:tc>
        <w:tc>
          <w:tcPr>
            <w:tcW w:w="158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F55C469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SaaS、云资源、短信、邮件、证书等另计</w:t>
            </w:r>
          </w:p>
        </w:tc>
        <w:tc>
          <w:tcPr>
            <w:tcW w:w="1728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A7D830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 w:val="0"/>
                <w:color w:val="0C3459"/>
                <w:sz w:val="14"/>
              </w:rPr>
              <w:t>按实际发生</w:t>
            </w:r>
          </w:p>
        </w:tc>
      </w:tr>
      <w:tr w14:paraId="5B318A9A">
        <w:tblPrEx>
          <w:tblBorders>
            <w:top w:val="single" w:color="D0D7E2" w:sz="4" w:space="0"/>
            <w:left w:val="single" w:color="D0D7E2" w:sz="4" w:space="0"/>
            <w:bottom w:val="single" w:color="D0D7E2" w:sz="4" w:space="0"/>
            <w:right w:val="single" w:color="D0D7E2" w:sz="4" w:space="0"/>
            <w:insideH w:val="single" w:color="D0D7E2" w:sz="4" w:space="0"/>
            <w:insideV w:val="single" w:color="D0D7E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05B179">
            <w:pPr>
              <w:spacing w:after="0" w:line="259" w:lineRule="auto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预算参考合计（含首年数据资源及动态实施暂估）</w:t>
            </w:r>
          </w:p>
        </w:tc>
        <w:tc>
          <w:tcPr>
            <w:tcW w:w="158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9170C1D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¥1,061,000</w:t>
            </w:r>
          </w:p>
        </w:tc>
        <w:tc>
          <w:tcPr>
            <w:tcW w:w="1584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0D0E97F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固定服务 + 动态实施暂估 + 首年数据；第三方费用另计</w:t>
            </w:r>
          </w:p>
        </w:tc>
        <w:tc>
          <w:tcPr>
            <w:tcW w:w="1728" w:type="dxa"/>
            <w:shd w:val="clear" w:color="auto" w:fill="E8F5F2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1F9C2BB">
            <w:pPr>
              <w:spacing w:after="0" w:line="259" w:lineRule="auto"/>
              <w:jc w:val="center"/>
            </w:pPr>
            <w:r>
              <w:rPr>
                <w:rFonts w:ascii="微软雅黑" w:hAnsi="微软雅黑" w:eastAsia="微软雅黑"/>
                <w:b/>
                <w:color w:val="0C3459"/>
                <w:sz w:val="14"/>
              </w:rPr>
              <w:t>含税口径</w:t>
            </w:r>
          </w:p>
        </w:tc>
      </w:tr>
    </w:tbl>
    <w:p w14:paraId="016A12D8"/>
    <w:p w14:paraId="23E21A09"/>
    <w:p w14:paraId="13308B0A"/>
    <w:p w14:paraId="02671972"/>
    <w:p w14:paraId="3FC8ECA1"/>
    <w:p w14:paraId="6A90FF04"/>
    <w:p w14:paraId="2BFC2CE2"/>
    <w:p w14:paraId="340EB46C"/>
    <w:p w14:paraId="25CC96FD"/>
    <w:p w14:paraId="21036AF1"/>
    <w:p w14:paraId="3078CB9D"/>
    <w:p w14:paraId="29108035"/>
    <w:p w14:paraId="1C669966"/>
    <w:p w14:paraId="73C6D414"/>
    <w:p w14:paraId="42741490"/>
    <w:p w14:paraId="38A3D978"/>
    <w:p w14:paraId="2B2D9803"/>
    <w:p w14:paraId="55D99C58"/>
    <w:p w14:paraId="192FCCE5"/>
    <w:p w14:paraId="2E48AC8D"/>
    <w:p w14:paraId="39E876C7"/>
    <w:p w14:paraId="686B979E"/>
    <w:p w14:paraId="616372CA"/>
    <w:p w14:paraId="62D64D54"/>
    <w:p w14:paraId="5438DB49"/>
    <w:p w14:paraId="75E54202"/>
    <w:sectPr>
      <w:pgSz w:w="15840" w:h="12240" w:orient="landscape"/>
      <w:pgMar w:top="792" w:right="648" w:bottom="792" w:left="648" w:header="403" w:footer="40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7D758">
    <w:pPr>
      <w:pStyle w:val="24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2FD4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2E59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AE8A4">
    <w:pPr>
      <w:pStyle w:val="25"/>
      <w:jc w:val="right"/>
    </w:pPr>
    <w:r>
      <w:rPr>
        <w:rFonts w:ascii="微软雅黑" w:hAnsi="微软雅黑" w:eastAsia="微软雅黑"/>
        <w:color w:val="606C7B"/>
        <w:sz w:val="16"/>
      </w:rPr>
      <w:t>江苏毅合捷产品主数据项目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4EC0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CDC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004478"/>
    <w:rsid w:val="24406CC5"/>
    <w:rsid w:val="479D6158"/>
    <w:rsid w:val="49070B73"/>
    <w:rsid w:val="51707AC9"/>
    <w:rsid w:val="517C782D"/>
    <w:rsid w:val="55640CA7"/>
    <w:rsid w:val="56F37235"/>
    <w:rsid w:val="58161EC4"/>
    <w:rsid w:val="5ECC46B3"/>
    <w:rsid w:val="72F71196"/>
    <w:rsid w:val="76406A45"/>
    <w:rsid w:val="7A8D2A36"/>
    <w:rsid w:val="7CB5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69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20" w:after="160"/>
      <w:outlineLvl w:val="0"/>
    </w:pPr>
    <w:rPr>
      <w:rFonts w:asciiTheme="majorHAnsi" w:hAnsiTheme="majorHAnsi" w:eastAsiaTheme="majorEastAsia" w:cstheme="majorBidi"/>
      <w:b/>
      <w:bCs/>
      <w:color w:val="0C3459"/>
      <w:sz w:val="3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40" w:after="120"/>
      <w:outlineLvl w:val="1"/>
    </w:pPr>
    <w:rPr>
      <w:rFonts w:asciiTheme="majorHAnsi" w:hAnsiTheme="majorHAnsi" w:eastAsiaTheme="majorEastAsia" w:cstheme="majorBidi"/>
      <w:b/>
      <w:bCs/>
      <w:color w:val="215E96"/>
      <w:sz w:val="27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b/>
      <w:bCs/>
      <w:color w:val="146F63"/>
      <w:sz w:val="23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numbering" Target="numbering.xml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33</Pages>
  <Words>8112</Words>
  <Characters>8609</Characters>
  <Lines>0</Lines>
  <Paragraphs>0</Paragraphs>
  <TotalTime>4</TotalTime>
  <ScaleCrop>false</ScaleCrop>
  <LinksUpToDate>false</LinksUpToDate>
  <CharactersWithSpaces>8824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WPS_1670136236</cp:lastModifiedBy>
  <dcterms:modified xsi:type="dcterms:W3CDTF">2026-06-24T07:27:30Z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eyJoZGlkIjoiNTc5Mjk4YmQ0ODNhMzAyNGVmMWMzNTI1NTUxYjI2NTgiLCJ1c2VySWQiOiIxNDQ4NDMxNjE1In0=</vt:lpwstr>
  </property>
  <property fmtid="{D5CDD505-2E9C-101B-9397-08002B2CF9AE}" pid="3" name="KSOProductBuildVer">
    <vt:lpwstr>2052-12.1.0.26895</vt:lpwstr>
  </property>
  <property fmtid="{D5CDD505-2E9C-101B-9397-08002B2CF9AE}" pid="4" name="ICV">
    <vt:lpwstr>2D5BE2BB451C400F9C0BAC82A635909A_13</vt:lpwstr>
  </property>
</Properties>
</file>