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3198A">
      <w:pPr>
        <w:spacing w:before="0" w:after="60" w:line="252" w:lineRule="auto"/>
      </w:pPr>
      <w:r>
        <w:rPr>
          <w:rFonts w:ascii="Calibri" w:hAnsi="Calibri" w:eastAsia="微软雅黑"/>
          <w:b/>
          <w:color w:val="1F4E79"/>
          <w:sz w:val="42"/>
        </w:rPr>
        <w:t>客户背景理解：毅合捷的产品数据已服务全球后市场</w:t>
      </w:r>
    </w:p>
    <w:p w14:paraId="523F09AC">
      <w:pPr>
        <w:spacing w:before="0" w:after="180" w:line="264" w:lineRule="auto"/>
      </w:pPr>
      <w:r>
        <w:rPr>
          <w:rFonts w:ascii="Calibri" w:hAnsi="Calibri" w:eastAsia="微软雅黑"/>
          <w:b w:val="0"/>
          <w:color w:val="667085"/>
          <w:sz w:val="22"/>
        </w:rPr>
        <w:t>基于公开资料、客户补充信息与《产品主数据项目需求SOW》的初步理解</w:t>
      </w:r>
    </w:p>
    <w:p w14:paraId="1842EBE3">
      <w:pPr>
        <w:pBdr>
          <w:bottom w:val="single" w:color="0F6B78" w:sz="12" w:space="6"/>
        </w:pBdr>
        <w:spacing w:before="0" w:after="200" w:line="240" w:lineRule="auto"/>
      </w:pP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0"/>
      </w:tblGrid>
      <w:tr w14:paraId="08149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0" w:type="dxa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EAF3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98C0A44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毅合捷/JRONE 的产品数据已面向全球后市场渠道使用，本项目不只是建设产品资料库，而是建设可持续运营的产品主数据基础。</w:t>
            </w:r>
          </w:p>
        </w:tc>
      </w:tr>
    </w:tbl>
    <w:p w14:paraId="550F73A4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8"/>
        </w:rPr>
        <w:t>已关注到的背景信息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0"/>
        <w:gridCol w:w="3040"/>
        <w:gridCol w:w="3040"/>
      </w:tblGrid>
      <w:tr w14:paraId="56131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0" w:type="dxa"/>
            <w:tcBorders>
              <w:top w:val="single" w:color="D0D5DD" w:sz="8" w:space="0"/>
              <w:left w:val="single" w:color="D0D5DD" w:sz="8" w:space="0"/>
              <w:bottom w:val="single" w:color="D0D5DD" w:sz="8" w:space="0"/>
              <w:right w:val="single" w:color="D0D5DD" w:sz="8" w:space="0"/>
            </w:tcBorders>
            <w:shd w:val="clear" w:color="auto" w:fill="F4F6F8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44BE7C34">
            <w:pPr>
              <w:spacing w:before="0" w:after="60" w:line="254" w:lineRule="auto"/>
            </w:pPr>
            <w:r>
              <w:rPr>
                <w:rFonts w:ascii="Calibri" w:hAnsi="Calibri" w:eastAsia="微软雅黑"/>
                <w:b/>
                <w:color w:val="1F4E79"/>
                <w:sz w:val="21"/>
              </w:rPr>
              <w:t>国际数据标准基础</w:t>
            </w:r>
          </w:p>
          <w:p w14:paraId="5E8F5DCE">
            <w:pPr>
              <w:spacing w:before="0" w:after="0" w:line="264" w:lineRule="auto"/>
            </w:pPr>
            <w:r>
              <w:rPr>
                <w:rFonts w:ascii="Calibri" w:hAnsi="Calibri" w:eastAsia="微软雅黑"/>
                <w:b w:val="0"/>
                <w:color w:val="1F2937"/>
                <w:sz w:val="18"/>
              </w:rPr>
              <w:t>JRONE 已进入 TecAlliance / TecDoc 数据供应商体系，产品数据需要围绕 OE 交叉引用、车型适配、类目属性和产品参数进行标准化治理。</w:t>
            </w:r>
          </w:p>
        </w:tc>
        <w:tc>
          <w:tcPr>
            <w:tcW w:w="3040" w:type="dxa"/>
            <w:tcBorders>
              <w:top w:val="single" w:color="D0D5DD" w:sz="8" w:space="0"/>
              <w:left w:val="single" w:color="D0D5DD" w:sz="8" w:space="0"/>
              <w:bottom w:val="single" w:color="D0D5DD" w:sz="8" w:space="0"/>
              <w:right w:val="single" w:color="D0D5DD" w:sz="8" w:space="0"/>
            </w:tcBorders>
            <w:shd w:val="clear" w:color="auto" w:fill="E8F5F3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6FA27813">
            <w:pPr>
              <w:spacing w:before="0" w:after="60" w:line="254" w:lineRule="auto"/>
            </w:pPr>
            <w:r>
              <w:rPr>
                <w:rFonts w:ascii="Calibri" w:hAnsi="Calibri" w:eastAsia="微软雅黑"/>
                <w:b/>
                <w:color w:val="1F4E79"/>
                <w:sz w:val="21"/>
              </w:rPr>
              <w:t>海外渠道与区域市场</w:t>
            </w:r>
          </w:p>
          <w:p w14:paraId="03E3D143">
            <w:pPr>
              <w:spacing w:before="0" w:after="0" w:line="264" w:lineRule="auto"/>
            </w:pPr>
            <w:r>
              <w:rPr>
                <w:rFonts w:ascii="Calibri" w:hAnsi="Calibri" w:eastAsia="微软雅黑"/>
                <w:b w:val="0"/>
                <w:color w:val="1F2937"/>
                <w:sz w:val="18"/>
              </w:rPr>
              <w:t>欧洲、北美等后市场渠道对产品查询、目录、库存协同和售后适配有直接要求。</w:t>
            </w:r>
          </w:p>
        </w:tc>
        <w:tc>
          <w:tcPr>
            <w:tcW w:w="3040" w:type="dxa"/>
            <w:tcBorders>
              <w:top w:val="single" w:color="D0D5DD" w:sz="8" w:space="0"/>
              <w:left w:val="single" w:color="D0D5DD" w:sz="8" w:space="0"/>
              <w:bottom w:val="single" w:color="D0D5DD" w:sz="8" w:space="0"/>
              <w:right w:val="single" w:color="D0D5DD" w:sz="8" w:space="0"/>
            </w:tcBorders>
            <w:shd w:val="clear" w:color="auto" w:fill="EAF3F8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4D5EB69B">
            <w:pPr>
              <w:spacing w:before="0" w:after="60" w:line="254" w:lineRule="auto"/>
            </w:pPr>
            <w:r>
              <w:rPr>
                <w:rFonts w:ascii="Calibri" w:hAnsi="Calibri" w:eastAsia="微软雅黑"/>
                <w:b/>
                <w:color w:val="1F4E79"/>
                <w:sz w:val="21"/>
              </w:rPr>
              <w:t>SOW 指向主数据平台</w:t>
            </w:r>
          </w:p>
          <w:p w14:paraId="5492995D">
            <w:pPr>
              <w:spacing w:before="0" w:after="0" w:line="264" w:lineRule="auto"/>
            </w:pPr>
            <w:r>
              <w:rPr>
                <w:rFonts w:ascii="Calibri" w:hAnsi="Calibri" w:eastAsia="微软雅黑"/>
                <w:b w:val="0"/>
                <w:color w:val="1F2937"/>
                <w:sz w:val="18"/>
              </w:rPr>
              <w:t>SOW 明确强调欧洲、北美、中国车型适配和 ACES/PIES 兼容，本项目关键是打通产品、OE、车型、BOM、图片与分发规则。</w:t>
            </w:r>
          </w:p>
        </w:tc>
      </w:tr>
    </w:tbl>
    <w:p w14:paraId="19E18D71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8"/>
        </w:rPr>
        <w:t>项目理解</w:t>
      </w:r>
    </w:p>
    <w:p w14:paraId="04C03275">
      <w:pPr>
        <w:spacing w:before="0" w:after="80" w:line="271" w:lineRule="auto"/>
        <w:rPr>
          <w:rFonts w:ascii="Calibri" w:hAnsi="Calibri" w:eastAsia="微软雅黑"/>
          <w:b w:val="0"/>
          <w:color w:val="1F2937"/>
          <w:sz w:val="21"/>
        </w:rPr>
      </w:pPr>
      <w:r>
        <w:rPr>
          <w:rFonts w:ascii="Calibri" w:hAnsi="Calibri" w:eastAsia="微软雅黑"/>
          <w:b w:val="0"/>
          <w:color w:val="1F2937"/>
          <w:sz w:val="21"/>
        </w:rPr>
        <w:t>本项目可理解为：</w:t>
      </w:r>
      <w:r>
        <w:rPr>
          <w:rFonts w:ascii="Calibri" w:hAnsi="Calibri" w:eastAsia="微软雅黑"/>
          <w:b/>
          <w:color w:val="1F4E79"/>
          <w:sz w:val="21"/>
        </w:rPr>
        <w:t>面向全球汽车后市场的产品数据治理与分发平台</w:t>
      </w:r>
      <w:r>
        <w:rPr>
          <w:rFonts w:ascii="Calibri" w:hAnsi="Calibri" w:eastAsia="微软雅黑"/>
          <w:b w:val="0"/>
          <w:color w:val="1F2937"/>
          <w:sz w:val="21"/>
        </w:rPr>
        <w:t>。核心目标是统一 JRONE 产品、OE 号码、车型适配、增压器型号、BOM、图片、目录与渠道分发关系，并支撑 PLM、ERP、MES、WMS、CRM、官网/电商等系统协同。</w:t>
      </w:r>
    </w:p>
    <w:p w14:paraId="3D2F140E">
      <w:pPr>
        <w:spacing w:before="0" w:after="80" w:line="271" w:lineRule="auto"/>
        <w:rPr>
          <w:rFonts w:ascii="Calibri" w:hAnsi="Calibri" w:eastAsia="微软雅黑"/>
          <w:b w:val="0"/>
          <w:color w:val="1F2937"/>
          <w:sz w:val="21"/>
        </w:rPr>
      </w:pPr>
    </w:p>
    <w:p w14:paraId="79A2996C">
      <w:pPr>
        <w:spacing w:before="0" w:after="80" w:line="271" w:lineRule="auto"/>
        <w:rPr>
          <w:rFonts w:hint="default" w:ascii="Calibri" w:hAnsi="Calibri" w:eastAsia="微软雅黑"/>
          <w:b w:val="0"/>
          <w:color w:val="1F2937"/>
          <w:sz w:val="21"/>
          <w:lang w:val="en-US" w:eastAsia="zh-CN"/>
        </w:rPr>
      </w:pPr>
      <w:r>
        <w:rPr>
          <w:rFonts w:hint="eastAsia" w:ascii="Calibri" w:hAnsi="Calibri"/>
          <w:b w:val="0"/>
          <w:color w:val="1F2937"/>
          <w:sz w:val="21"/>
          <w:lang w:val="en-US" w:eastAsia="zh-CN"/>
        </w:rPr>
        <w:t>欧洲（东欧/西欧</w:t>
      </w:r>
      <w:bookmarkStart w:id="0" w:name="_GoBack"/>
      <w:bookmarkEnd w:id="0"/>
      <w:r>
        <w:rPr>
          <w:rFonts w:hint="eastAsia" w:ascii="Calibri" w:hAnsi="Calibri"/>
          <w:b w:val="0"/>
          <w:color w:val="1F2937"/>
          <w:sz w:val="21"/>
          <w:lang w:val="en-US" w:eastAsia="zh-CN"/>
        </w:rPr>
        <w:t>）  北美 俄罗斯  非洲  东南亚 中国（比较少）</w:t>
      </w:r>
    </w:p>
    <w:p w14:paraId="03AACE3C">
      <w:r>
        <w:br w:type="page"/>
      </w:r>
    </w:p>
    <w:p w14:paraId="3322D8E6">
      <w:pPr>
        <w:spacing w:before="0" w:after="60" w:line="252" w:lineRule="auto"/>
      </w:pPr>
      <w:r>
        <w:rPr>
          <w:rFonts w:ascii="Calibri" w:hAnsi="Calibri" w:eastAsia="微软雅黑"/>
          <w:b/>
          <w:color w:val="1F4E79"/>
          <w:sz w:val="42"/>
        </w:rPr>
        <w:t>重点需求描述：P0 / P1 / P2</w:t>
      </w:r>
    </w:p>
    <w:p w14:paraId="1F2A5CC0">
      <w:pPr>
        <w:spacing w:before="0" w:after="180" w:line="264" w:lineRule="auto"/>
      </w:pPr>
      <w:r>
        <w:rPr>
          <w:rFonts w:ascii="Calibri" w:hAnsi="Calibri" w:eastAsia="微软雅黑"/>
          <w:b w:val="0"/>
          <w:color w:val="667085"/>
          <w:sz w:val="22"/>
        </w:rPr>
        <w:t>按业务关键性和演示优先级进行分级，便于会议中快速对齐</w:t>
      </w:r>
    </w:p>
    <w:p w14:paraId="36E3C2E9">
      <w:pPr>
        <w:pBdr>
          <w:bottom w:val="single" w:color="0F6B78" w:sz="12" w:space="6"/>
        </w:pBdr>
        <w:spacing w:before="0" w:after="200" w:line="240" w:lineRule="auto"/>
      </w:pP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0"/>
        <w:gridCol w:w="3040"/>
        <w:gridCol w:w="3040"/>
      </w:tblGrid>
      <w:tr w14:paraId="56E02337">
        <w:trPr>
          <w:jc w:val="center"/>
        </w:trPr>
        <w:tc>
          <w:tcPr>
            <w:tcW w:w="304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shd w:val="clear" w:color="auto" w:fill="EAF3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11AEB0B">
            <w:pPr>
              <w:spacing w:before="0" w:after="40" w:line="259" w:lineRule="auto"/>
            </w:pPr>
            <w:r>
              <w:rPr>
                <w:rFonts w:ascii="Calibri" w:hAnsi="Calibri" w:eastAsia="微软雅黑"/>
                <w:b/>
                <w:color w:val="9B1C1C"/>
                <w:sz w:val="22"/>
              </w:rPr>
              <w:t xml:space="preserve">P0  </w:t>
            </w:r>
            <w:r>
              <w:rPr>
                <w:rFonts w:ascii="Calibri" w:hAnsi="Calibri" w:eastAsia="微软雅黑"/>
                <w:b/>
                <w:color w:val="1F2937"/>
                <w:sz w:val="20"/>
              </w:rPr>
              <w:t>核心闭环</w:t>
            </w:r>
          </w:p>
          <w:p w14:paraId="52B75A35">
            <w:pPr>
              <w:spacing w:before="0" w:after="0" w:line="259" w:lineRule="auto"/>
            </w:pPr>
            <w:r>
              <w:rPr>
                <w:rFonts w:ascii="Calibri" w:hAnsi="Calibri" w:eastAsia="微软雅黑"/>
                <w:b w:val="0"/>
                <w:color w:val="667085"/>
                <w:sz w:val="18"/>
              </w:rPr>
              <w:t>影响平台目标成立。</w:t>
            </w:r>
          </w:p>
        </w:tc>
        <w:tc>
          <w:tcPr>
            <w:tcW w:w="304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shd w:val="clear" w:color="auto" w:fill="FFF7E6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6A37B03">
            <w:pPr>
              <w:spacing w:before="0" w:after="40" w:line="259" w:lineRule="auto"/>
            </w:pPr>
            <w:r>
              <w:rPr>
                <w:rFonts w:ascii="Calibri" w:hAnsi="Calibri" w:eastAsia="微软雅黑"/>
                <w:b/>
                <w:color w:val="7A5A00"/>
                <w:sz w:val="22"/>
              </w:rPr>
              <w:t xml:space="preserve">P1  </w:t>
            </w:r>
            <w:r>
              <w:rPr>
                <w:rFonts w:ascii="Calibri" w:hAnsi="Calibri" w:eastAsia="微软雅黑"/>
                <w:b/>
                <w:color w:val="1F2937"/>
                <w:sz w:val="20"/>
              </w:rPr>
              <w:t>业务增强</w:t>
            </w:r>
          </w:p>
          <w:p w14:paraId="7FAA7A89">
            <w:pPr>
              <w:spacing w:before="0" w:after="0" w:line="259" w:lineRule="auto"/>
            </w:pPr>
            <w:r>
              <w:rPr>
                <w:rFonts w:ascii="Calibri" w:hAnsi="Calibri" w:eastAsia="微软雅黑"/>
                <w:b w:val="0"/>
                <w:color w:val="667085"/>
                <w:sz w:val="18"/>
              </w:rPr>
              <w:t>影响协同效率和使用体验。</w:t>
            </w:r>
          </w:p>
        </w:tc>
        <w:tc>
          <w:tcPr>
            <w:tcW w:w="304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shd w:val="clear" w:color="auto" w:fill="F4F6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AC2B155">
            <w:pPr>
              <w:spacing w:before="0" w:after="40" w:line="259" w:lineRule="auto"/>
            </w:pPr>
            <w:r>
              <w:rPr>
                <w:rFonts w:ascii="Calibri" w:hAnsi="Calibri" w:eastAsia="微软雅黑"/>
                <w:b/>
                <w:color w:val="475467"/>
                <w:sz w:val="22"/>
              </w:rPr>
              <w:t xml:space="preserve">P2  </w:t>
            </w:r>
            <w:r>
              <w:rPr>
                <w:rFonts w:ascii="Calibri" w:hAnsi="Calibri" w:eastAsia="微软雅黑"/>
                <w:b/>
                <w:color w:val="1F2937"/>
                <w:sz w:val="20"/>
              </w:rPr>
              <w:t>扩展能力</w:t>
            </w:r>
          </w:p>
          <w:p w14:paraId="66EBCED2">
            <w:pPr>
              <w:spacing w:before="0" w:after="0" w:line="259" w:lineRule="auto"/>
            </w:pPr>
            <w:r>
              <w:rPr>
                <w:rFonts w:ascii="Calibri" w:hAnsi="Calibri" w:eastAsia="微软雅黑"/>
                <w:b w:val="0"/>
                <w:color w:val="667085"/>
                <w:sz w:val="18"/>
              </w:rPr>
              <w:t>适合分阶段规划。</w:t>
            </w:r>
          </w:p>
        </w:tc>
      </w:tr>
    </w:tbl>
    <w:p w14:paraId="328FF129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8"/>
        </w:rPr>
        <w:t>重点需求分级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300"/>
        <w:gridCol w:w="6120"/>
      </w:tblGrid>
      <w:tr w14:paraId="48952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6BFC43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优先级</w:t>
            </w:r>
          </w:p>
        </w:tc>
        <w:tc>
          <w:tcPr>
            <w:tcW w:w="230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B1A698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需求组</w:t>
            </w:r>
          </w:p>
        </w:tc>
        <w:tc>
          <w:tcPr>
            <w:tcW w:w="612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B44479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重点判断</w:t>
            </w:r>
          </w:p>
        </w:tc>
      </w:tr>
      <w:tr w14:paraId="2EF52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EB8616D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7"/>
              </w:rPr>
              <w:t>P0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2D32AED9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产品数据模型与标准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0D11C841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先明确对象、编码、分类和关系。</w:t>
            </w:r>
          </w:p>
        </w:tc>
      </w:tr>
      <w:tr w14:paraId="68C31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5E920AE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7"/>
              </w:rPr>
              <w:t>P0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26EB996A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车表与适配管理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75CE80D9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重点确认车型绑定、OE 关系和适配风险。</w:t>
            </w:r>
          </w:p>
        </w:tc>
      </w:tr>
      <w:tr w14:paraId="32629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4640496C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7"/>
              </w:rPr>
              <w:t>P0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6A57B402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查询与检索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04A802B1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支撑精准查询、批量查询、导入校验和结果复用。</w:t>
            </w:r>
          </w:p>
        </w:tc>
      </w:tr>
      <w:tr w14:paraId="4E61B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05A1B7EE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7"/>
              </w:rPr>
              <w:t>P0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2B06EAEA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数据质量管理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5434E406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需要规则、查重、唯一性、联动稽查。</w:t>
            </w:r>
          </w:p>
        </w:tc>
      </w:tr>
      <w:tr w14:paraId="28A82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622F208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7"/>
              </w:rPr>
              <w:t>P0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1744468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生命周期管理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3774047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主数据创建、变更、废止、升级需闭环。</w:t>
            </w:r>
          </w:p>
        </w:tc>
      </w:tr>
      <w:tr w14:paraId="44D10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262D45D2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7"/>
              </w:rPr>
              <w:t>P0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0E67E274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系统集成与同步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29B975A3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主数据平台作为集成和分发中枢。</w:t>
            </w:r>
          </w:p>
        </w:tc>
      </w:tr>
      <w:tr w14:paraId="48F57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4301F116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7"/>
              </w:rPr>
              <w:t>P0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50850A00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历史数据清洗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F94D175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系统能力与清洗方法需同时落地。</w:t>
            </w:r>
          </w:p>
        </w:tc>
      </w:tr>
      <w:tr w14:paraId="7C2AD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543BBDBB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7"/>
              </w:rPr>
              <w:t>P0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506C6A0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权限、安全与性能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7C3FC4BE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作为跨系统数据底座，需前置确认。</w:t>
            </w:r>
          </w:p>
        </w:tc>
      </w:tr>
      <w:tr w14:paraId="5F9C0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6B7F97FB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7"/>
              </w:rPr>
              <w:t>P1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576F12F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询价与报价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D4AF644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业务协同场景，可结合 RCA7 展示。</w:t>
            </w:r>
          </w:p>
        </w:tc>
      </w:tr>
      <w:tr w14:paraId="470B4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9F0BF4D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7"/>
              </w:rPr>
              <w:t>P1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70E8D424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图片与目录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4DD4E85D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图片处理、目录生成、官网分发需形成闭环。</w:t>
            </w:r>
          </w:p>
        </w:tc>
      </w:tr>
      <w:tr w14:paraId="71476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27266A9C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7"/>
              </w:rPr>
              <w:t>P1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2D73A666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报表分析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2A5F9F34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确认报表口径、权限和分析方式。</w:t>
            </w:r>
          </w:p>
        </w:tc>
      </w:tr>
      <w:tr w14:paraId="1FB20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00BEBF6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7"/>
              </w:rPr>
              <w:t>P1/P2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58DCE3FC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AI 与自动化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414BAEDC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绑定查重、质检、清洗、分类等具体场景。</w:t>
            </w:r>
          </w:p>
        </w:tc>
      </w:tr>
      <w:tr w14:paraId="76C2B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6D884A84">
            <w:pPr>
              <w:spacing w:before="0" w:after="0" w:line="257" w:lineRule="auto"/>
              <w:jc w:val="center"/>
            </w:pPr>
            <w:r>
              <w:rPr>
                <w:rFonts w:ascii="Calibri" w:hAnsi="Calibri" w:eastAsia="微软雅黑"/>
                <w:b/>
                <w:color w:val="475467"/>
                <w:sz w:val="17"/>
              </w:rPr>
              <w:t>P2</w:t>
            </w:r>
          </w:p>
        </w:tc>
        <w:tc>
          <w:tcPr>
            <w:tcW w:w="230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25A4CC42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多语言、多租户与扩展</w:t>
            </w:r>
          </w:p>
        </w:tc>
        <w:tc>
          <w:tcPr>
            <w:tcW w:w="612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3E8E550">
            <w:pPr>
              <w:spacing w:before="0" w:after="0" w:line="257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7"/>
              </w:rPr>
              <w:t>作为国际化和长期架构能力确认。</w:t>
            </w:r>
          </w:p>
        </w:tc>
      </w:tr>
    </w:tbl>
    <w:p w14:paraId="282A3C2B">
      <w:r>
        <w:br w:type="page"/>
      </w:r>
    </w:p>
    <w:p w14:paraId="2557A33B">
      <w:pPr>
        <w:spacing w:before="0" w:after="60" w:line="252" w:lineRule="auto"/>
      </w:pPr>
      <w:r>
        <w:rPr>
          <w:rFonts w:ascii="Calibri" w:hAnsi="Calibri" w:eastAsia="微软雅黑"/>
          <w:b/>
          <w:color w:val="1F4E79"/>
          <w:sz w:val="42"/>
        </w:rPr>
        <w:t>具体需求拆解</w:t>
      </w:r>
    </w:p>
    <w:p w14:paraId="4E8E20D1">
      <w:pPr>
        <w:spacing w:before="0" w:after="180" w:line="264" w:lineRule="auto"/>
      </w:pPr>
      <w:r>
        <w:rPr>
          <w:rFonts w:ascii="Calibri" w:hAnsi="Calibri" w:eastAsia="微软雅黑"/>
          <w:b w:val="0"/>
          <w:color w:val="667085"/>
          <w:sz w:val="22"/>
        </w:rPr>
        <w:t>保留客户原始需求名称与需求描述，并按分段列出确认重点</w:t>
      </w:r>
    </w:p>
    <w:p w14:paraId="346E5F7D">
      <w:pPr>
        <w:pBdr>
          <w:bottom w:val="single" w:color="0F6B78" w:sz="12" w:space="6"/>
        </w:pBdr>
        <w:spacing w:before="0" w:after="200" w:line="240" w:lineRule="auto"/>
      </w:pPr>
    </w:p>
    <w:p w14:paraId="0B34E3D4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5.1 产品数据模型与标准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0D14E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2D186C7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需求方向明确，行业软件能力可覆盖；重点是调研客户现有编码、BOM、OE、CBOM、图号与料号之间的真实关系。</w:t>
            </w:r>
          </w:p>
        </w:tc>
      </w:tr>
      <w:tr w14:paraId="510DF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AFAB67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A180B5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3D257D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44F90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FA2E09E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外部数据管理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BFDE691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支持汽车OE号(VOE)、增压器/零件OE号(TOE)、竞品号、CBOM的管理，支持从整车厂、第三方平台持续导入更新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7B30DA1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66480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07C450C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内部产品数据管理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654FE3D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支持JR配件号、销售BOM头、三段码、四段码、MBOM头、整机三段码、零件三段码、产品EBOM头、零件BOM头的管理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D490A16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039AE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5A8D0E7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层级关联关系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AC87A37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支持以下固定关联关系：JR配件(1:1)销售BOM头(N:N)三段码(N:1)四段码(1:1)MBOM头；整机三段码(1:1)产品EBOM头；零件三段码(1:1)零件BOM头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7C35ADC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6B661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B9AAA62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三段/四段码对照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BB2ED82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维护三段式与四段式编码对照关系，确保映射准确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4216239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1EA4F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F40B5C8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产品分类体系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2AFB7C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支持产品分类、零部件分类、销售分类（产品线）的多维度分类管理，参照行业标准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AB7ECB2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2D089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74F459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编码规则引擎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B0AA43C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支持多种编码规则（手工码、顺序码、特征组合码），支持可变码长/码段设定，支持编码唯一值自定义校验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356EB86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44DBC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4497B87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图号与料号分离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C769F0E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支持业务中图号（技术图纸标识）与料号（物料管理标识）分开管理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6DF8B76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</w:tbl>
    <w:p w14:paraId="324B1CB5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5.2 车表与适配管理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6EDDB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AD15EC5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本段需要重点展示车型绑定逻辑、OE 勘误/旁通号逻辑，以及欧洲、北美、中国车型适配数据的差异。</w:t>
            </w:r>
          </w:p>
        </w:tc>
      </w:tr>
      <w:tr w14:paraId="79E62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F29E0F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CD23EB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FE606C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231E0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BBBF6BE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车型数据管理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6BDD83B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支持“车型数据→增压器型号→我司产品”全链路适配关系管理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DFC0134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7CC9B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F2CBD55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欧洲车型适配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5A0C6E7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重点完善欧洲车型适配数据，建立适配风险定期检查机制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16EBC35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4E3D8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9BD4D03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北美车型适配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C9D8D12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重点完善北美车型适配数据，建立适配风险定期检查机制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4911E28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36EB6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14BC07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中国车型适配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A9C827E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重点完善中国车型适配数据，建立适配风险定期检查机制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D727448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500DA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A1A7CE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VOE、TOE、竞品号关联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197B657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自动提示OE号与配件、配件与产品的关联关系，支持旁通号自动关联补充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1CE13E0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67826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70CE69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适配关系检查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F6DD35A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当车型OE或增压器OE全部停用时，自动检查关联产品状态并预警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5D7F103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</w:tbl>
    <w:p w14:paraId="01D69118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5.3 数据查询与检索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02D4C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AC05FB5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可结合 RCA 场景展示批量查询、批量导入校验、结果导出和历史查询复用能力。</w:t>
            </w:r>
          </w:p>
        </w:tc>
      </w:tr>
      <w:tr w14:paraId="1655A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E244F1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5BE33E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9F1E89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7F72B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9E25FF1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多维度查询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ACEB133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支持按增压器OE号、车型OE号、竞品号、整机三段码、零件三段码、产品特性、品类等综合查询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4C3BC05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010AD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3C1E9E2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结果展示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009C338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结果显示JR号、配件图片、基本信息、产品参数（增压器、执行机构、冷却方式等）；支持整机/机芯通过JR号快速复核；支持自定义查询界面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53FFB50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622C4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ACECFFD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批量查询与导出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F865078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支持Excel导入批量查询条件，结果支持批量导出；结果格式与国家目录、询价单、报价单统一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8484931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30721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732D715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批量导入校验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50DA7B1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批量导入数据时精确定位报错行/字段并说明原因，支持在线快速修正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6D25731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69554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9DDAA23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精准查询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941A5F5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关闭不必要的模糊查询，提供精准查询能力，减少一对多复核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A8423DC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5825F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ECA7C7A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查询留痕复用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FE9308D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自动记录查询操作，支持按角色/时间/内容生成报表；下次登录提示历史查询结果支持快速复用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BDB388F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2CDDF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0182AF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自下而上查询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4783E3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支持技术中心从零部件向上追溯到整机、车型的查询能力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CB8AE22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</w:tbl>
    <w:p w14:paraId="2C1C197F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5.4 数据校验与质量管理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34FFD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3377FB5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本段需要客户提供具体业务场景后再确定规则；重点确认校验对象、触发条件、判断内容和异常处理方式。</w:t>
            </w:r>
          </w:p>
        </w:tc>
      </w:tr>
      <w:tr w14:paraId="45B4F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B1D859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DB202B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960DAC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3EDCD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3FCDF13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自定义校验规则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F22D2F8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支持自定义产品数据标准规则，系统自动校验数据合规性并输出检查报告、推送异常提醒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D7CC8BF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10DB1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8F95B26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智能查重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C4739E6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物料申请时模糊匹配与语义识别查重，及时提示系统中可能存在的相似数据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7EF4D30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25778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6F5D91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编码唯一性校验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5DCC004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支持针对不同数据仓库自定义编码唯一值校验规则，避免编码重复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DC6C059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71D4F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9CD319E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关联约束校验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D80872D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支持属性间的关联校验（如根据A值过滤B值、属性组合校验）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98772C3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5A50E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A62C93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AI质量检查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AA7BE11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集成AI数据质量检查模块，自动识别数据问题（重复、异常值）并推送整改建议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5A340C3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65296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6BFF256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数据稽查机制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55EB194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事后监控：三段码停用时检查四段码状态、BOM停用时检查销售BOM状态；对应产品四段码全部停用但三段码未停用时自动提示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8825583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</w:tbl>
    <w:p w14:paraId="78A7B906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5.5 产品主数据全生命周期管理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6C4CC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6C78E49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逻辑方向清晰，可用样品或产品流程说明从创建、审批、变更、同步到归档的闭环；细节在调研阶段确认。</w:t>
            </w:r>
          </w:p>
        </w:tc>
      </w:tr>
      <w:tr w14:paraId="19763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B4283F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7C3ACE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F7EEB3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71796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054877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闭环管理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FC87D4E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产品主数据全生命周期操作（创建、变更、废止、升级）在系统内闭环，含版本升级、流程审批、数据更改协同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9489147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4BB9A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6038264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版本控制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BC32792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支持产品主数据版本控制和变更管理，变更时新旧版本对比，触发下游系统同步更新通知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D31ECF6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4A391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D5BA97D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状态同步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64E6987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产品主数据生命周期状态需与PLM、ERP实时同步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4506438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5CE66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6BCB72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审批流程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61E3AFB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支持分类分级审批流，支持图形化拖拽自定义工作流，支持会签、转办、驳回、按条件跳转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684B9BA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18080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FE944E7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批量操作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FC5D27D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支持批量导入的流程审批、版本管理、权限控制，保留完整日志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2ECA6EB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3E643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A816D07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整机替代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174411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支持手工取消产品BOM层级关系（整机替代场景），操作后保留修改日志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C1BD73E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6AF65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1C4BB13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待办提醒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AAAB7B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待办事项绑定飞书等移动端，实时预警与审批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9DD1B5C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</w:tbl>
    <w:p w14:paraId="3B30E5F6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5.6 系统集成与数据同步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1ECA5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BB8D90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重点确认接口授权、主数据平台接口职责、既有接口、未来接口，以及原有接口切换方案。</w:t>
            </w:r>
          </w:p>
        </w:tc>
      </w:tr>
      <w:tr w14:paraId="6CD60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E5FEA0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D417EB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D8B2F4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76C96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E68B32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平台需求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12D1DD2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打造系统集成平台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3D6B97A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75A38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C98A4A4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PLM集成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09CF81E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PLM向主数据平台同步：产品三段码、EBOM头、MBOM头、SBOM、JR配件SBOM、图纸、图号、产品状态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CF4509F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10C0B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2A746FE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ERP集成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29BC65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主数据平台同步向ERP分发物料主数据多视图；接收ERP轻分析数据用于报表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7D609FE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73832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6F6EDE2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OA集成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AD46BC1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新品开发流程、客制化需求、待开发评审闭环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2EE130C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39A4C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731E4A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数据同步自动化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074FBE5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实现主数据平台同步、PLM、ERP产品数据自动同步，减少人工重复维护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F639F74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0BCAD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CC73D74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视图分发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4C80454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 xml:space="preserve">支持向不同系统分发不同视图数据 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45DF835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133C6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74B5FD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MES集成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78E8D5E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质检状态自动同步至主数据平台同步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50D33DA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1D899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83114B6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官网集成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875BEC7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产品目录与图片从主数据平台同步自动推送至官网，替代现有人工处理导入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71F4169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0992F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3AB941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客户物料编码映射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E7591C2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在主数据平台同步中维护我司物料编码与客户物料编码的映射关系，分发时按需转换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45AF8F6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46D29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1CDEB35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CRM集成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675F2E3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供应商供货能力清单、客户物料编码对照关系同步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5B1CBE1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25027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7CBBD93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数据流向可视化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562D724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支持自定义产品数据在各系统间的流转规则，实现数据流向可视化配置与监控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2BEFAC2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</w:tbl>
    <w:p w14:paraId="54ED28E5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5.7 营销询价与报价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41BE3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4E9E9EB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可结合 RCA7 迁移演示，重点展示询价、不可供预警、待开发评审、自动报价和客户查询引导闭环。</w:t>
            </w:r>
          </w:p>
        </w:tc>
      </w:tr>
      <w:tr w14:paraId="07C45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A56879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BD13F5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B502D5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28755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B086498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询价流程线上化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F9A19DE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将线下询价转为线上，系统自动记录询价全流程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447C43F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11546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A25A0C1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不可供预警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692C371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询价不可供频次大于10次的产品，自动提示并转入待开发评审文件夹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EFB1F64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594BB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706D25D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询价闭环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28B6508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销售发起询价→产品部回复→系统记录全流程，支持与OA集成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9B861F4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6E65B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FF00BF6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自动报价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1305386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支持基于预设规则自动报价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8E9C34C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357C6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132F321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引导客户查询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169C16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网站上支持引导客户使用查询属性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36A706C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</w:tbl>
    <w:p w14:paraId="272A2DC1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5.8 图片与目录处理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0F9D4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3E099E5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图片处理和批量导出可结合 RCA7；目录自动生成和图片标准化存储可结合 PDC。</w:t>
            </w:r>
          </w:p>
        </w:tc>
      </w:tr>
      <w:tr w14:paraId="1E0E8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639AD0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0B305D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50FFE1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205CD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87FBFB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图片在线处理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2AC467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产品图片在线批量处理：抠底图、加水印、自定义尺寸/分辨率调整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2F9291E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2616E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ABD500A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图片批量导出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C1AEFE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图片按物料号批量导出，清晰度满足网站展示及产品目录制作要求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697D21A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39F59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61D892A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目录自动生成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B4175F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根据不同模板（PDF、Excel等）自动生成产品目录，一键推送至官网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61378B3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4554C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00E349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图片标准化存储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4A57AB6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标准图片存储分带水印/不带水印两种格式，各系统按需自动转换获取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07E3197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</w:tbl>
    <w:p w14:paraId="4A50B617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5.9 历史数据清洗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2047F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0DDFB48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按客户历史数据情况设计清洗方案；需用样例数据确认清洗规则、重复判定、OE 关联和质量目标。</w:t>
            </w:r>
          </w:p>
        </w:tc>
      </w:tr>
      <w:tr w14:paraId="07155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D1D797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6B584E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8F06A0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09E0E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B8DDC75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历史数据清洗方案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7C172D2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供应商提供清洗工具和方案，清洗PLM/ERP历史物料数据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E83D265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04C08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BD426C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语义识别清洗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3CFB62A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支持特征值自动拆分（如将“截止阀RFJ41H 150LB-C DN40 A105”拆分为类型、型号、压力、通径、材质、标准）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BFD9353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76757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0E71D08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OE号关联清洗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64FFD08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自动识别并建立OE号、旁通号与内部JR号的关联关系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C6FE320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0B9FA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76D28E4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清洗范围判定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A550651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按四象限法（过去使用×将来使用）判定数据清洗或停用策略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214EBE3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5FFDE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4155507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清洗质量目标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9C47A2C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物料重复率低于0.5%，关键属性完整率100%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318EADE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32F98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7A7E35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AI自动分类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04662BA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PDE根据分类规则自动识别数据类型、是否重复、是否标准格式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8F5EB9D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48622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EE4681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清洗流程可视化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CECC3EA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提供可配置化清洗流程组件，支持系统自动扫描与人工干预结合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DA5C799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</w:tbl>
    <w:p w14:paraId="19188030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5.10 报表与统计分析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5729C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6AFE59A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常规报表能力可覆盖；重点确认报表口径、权限范围，以及是否需要自然语言生成报表。</w:t>
            </w:r>
          </w:p>
        </w:tc>
      </w:tr>
      <w:tr w14:paraId="0D917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6DB5A3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D42E84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9B71AA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59D3D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FC73356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查询统计报表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5C80CB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按角色/时间/查询内容生成查询统计报表，按业务类型/部门/人员分类导出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898CAD8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69522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84E874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轻分析报表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B9ED9B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基于ERP轻分析逻辑，结合产品生命周期及销量进行自动分析，给出系统性建议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1C69EB3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56789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EACB00E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对照逻辑查询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479C46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记录历史数据对照逻辑（编码对照、属性对照），支持查询与分析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E59ACE7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</w:tbl>
    <w:p w14:paraId="4657B39D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5.11 权限与安全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0042D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F24DAA4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需求方向明确；重点确认权限颗粒度、日志保留周期、审计要求、脱敏规则和水印策略。</w:t>
            </w:r>
          </w:p>
        </w:tc>
      </w:tr>
      <w:tr w14:paraId="39B10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12C316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B35188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85CCAA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26125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05DE834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精细权限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87EABB8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支持功能权限、数据权限（行级/列级/字段级），支持表单按钮级权限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B3EDCBA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2FDB7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4AD47D4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日志审计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91554BD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记录操作日志、查询日志、接口日志、工作流日志，不可删除/修改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60C12B1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2019E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A01E2C5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数据安全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8B12D69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通信加密、敏感数据脱敏、水印功能（含登录用户和时间戳）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505D5DC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</w:tbl>
    <w:p w14:paraId="1B37CC65">
      <w:r>
        <w:br w:type="page"/>
      </w:r>
    </w:p>
    <w:p w14:paraId="653AC841">
      <w:pPr>
        <w:spacing w:before="220" w:after="100" w:line="264" w:lineRule="auto"/>
      </w:pPr>
      <w:r>
        <w:rPr>
          <w:rFonts w:ascii="Calibri" w:hAnsi="Calibri" w:eastAsia="微软雅黑"/>
          <w:b/>
          <w:color w:val="1F4E79"/>
          <w:sz w:val="27"/>
        </w:rPr>
        <w:t>5.12 非功能性需求</w:t>
      </w:r>
    </w:p>
    <w:tbl>
      <w:tblPr>
        <w:tblStyle w:val="32"/>
        <w:tblW w:w="9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"/>
        <w:gridCol w:w="1350"/>
        <w:gridCol w:w="5050"/>
        <w:gridCol w:w="2660"/>
        <w:gridCol w:w="60"/>
      </w:tblGrid>
      <w:tr w14:paraId="73902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jc w:val="center"/>
        </w:trPr>
        <w:tc>
          <w:tcPr>
            <w:tcW w:w="9120" w:type="dxa"/>
            <w:gridSpan w:val="4"/>
            <w:tcBorders>
              <w:top w:val="single" w:color="B9D8EA" w:sz="8" w:space="0"/>
              <w:left w:val="single" w:color="B9D8EA" w:sz="8" w:space="0"/>
              <w:bottom w:val="single" w:color="B9D8EA" w:sz="8" w:space="0"/>
              <w:right w:val="single" w:color="B9D8EA" w:sz="8" w:space="0"/>
            </w:tcBorders>
            <w:shd w:val="clear" w:color="auto" w:fill="FFF7E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CAD8398">
            <w:pPr>
              <w:spacing w:before="0" w:after="0" w:line="269" w:lineRule="auto"/>
            </w:pPr>
            <w:r>
              <w:rPr>
                <w:rFonts w:ascii="Calibri" w:hAnsi="Calibri" w:eastAsia="微软雅黑"/>
                <w:b w:val="0"/>
                <w:color w:val="1F2937"/>
                <w:sz w:val="20"/>
              </w:rPr>
              <w:t>重点确认租户隔离颗粒度、B/S 架构下的部署选型，以及普通查询与批量任务的性能处理方式。</w:t>
            </w:r>
          </w:p>
        </w:tc>
      </w:tr>
      <w:tr w14:paraId="100A0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tblHeader/>
          <w:jc w:val="center"/>
        </w:trPr>
        <w:tc>
          <w:tcPr>
            <w:tcW w:w="13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5DE9F9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需求名称</w:t>
            </w:r>
          </w:p>
        </w:tc>
        <w:tc>
          <w:tcPr>
            <w:tcW w:w="5050" w:type="dxa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5C868F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需求描述</w:t>
            </w:r>
          </w:p>
        </w:tc>
        <w:tc>
          <w:tcPr>
            <w:tcW w:w="2720" w:type="dxa"/>
            <w:gridSpan w:val="2"/>
            <w:tcBorders>
              <w:top w:val="single" w:color="A6B7C8" w:sz="6" w:space="0"/>
              <w:left w:val="single" w:color="A6B7C8" w:sz="6" w:space="0"/>
              <w:bottom w:val="single" w:color="A6B7C8" w:sz="6" w:space="0"/>
              <w:right w:val="single" w:color="A6B7C8" w:sz="6" w:space="0"/>
            </w:tcBorders>
            <w:shd w:val="clear" w:color="auto" w:fill="1F4E7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447747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/>
                <w:color w:val="FFFFFF"/>
                <w:sz w:val="17"/>
              </w:rPr>
              <w:t>优先级</w:t>
            </w:r>
          </w:p>
        </w:tc>
      </w:tr>
      <w:tr w14:paraId="45493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9B1D773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多租户管理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728275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支持多组织分级管控，租户间数据隔离，满足集团统一管控与差异化管理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DD480A5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475467"/>
                <w:sz w:val="16"/>
              </w:rPr>
              <w:t>P2</w:t>
            </w:r>
          </w:p>
        </w:tc>
      </w:tr>
      <w:tr w14:paraId="2361C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85F7D70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多语言支持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44B2A45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支持页面多语言及数据多语言，满足国际化战略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F0B30DC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1C9DC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FF7B6F6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高可用性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EF46B6C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支持负载均衡、数据库集群、双机热备，具备容错与恢复能力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953038E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1E4EC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1F3055A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可扩展性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258750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新产品品类能快速兼容配置，支持未来3-5年发展要求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D9ACE8C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7A5A00"/>
                <w:sz w:val="16"/>
              </w:rPr>
              <w:t>P1</w:t>
            </w:r>
          </w:p>
        </w:tc>
      </w:tr>
      <w:tr w14:paraId="32501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158D396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部署兼容性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773328A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支持Windows/Linux主流操作系统，支持Oracle/MySQL数据库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ACD9F02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  <w:tr w14:paraId="36400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0" w:type="dxa"/>
          <w:cantSplit/>
          <w:jc w:val="center"/>
        </w:trPr>
        <w:tc>
          <w:tcPr>
            <w:tcW w:w="13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9F6A8A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/>
                <w:color w:val="1F4E79"/>
                <w:sz w:val="17"/>
              </w:rPr>
              <w:t>性能</w:t>
            </w:r>
          </w:p>
        </w:tc>
        <w:tc>
          <w:tcPr>
            <w:tcW w:w="5050" w:type="dxa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6C7BFBF">
            <w:pPr>
              <w:spacing w:before="0" w:after="0" w:line="254" w:lineRule="auto"/>
              <w:jc w:val="left"/>
            </w:pPr>
            <w:r>
              <w:rPr>
                <w:rFonts w:ascii="Calibri" w:hAnsi="Calibri" w:eastAsia="微软雅黑"/>
                <w:b w:val="0"/>
                <w:color w:val="1F2937"/>
                <w:sz w:val="16"/>
              </w:rPr>
              <w:t>用户操作（如查询功能）响应速度2秒以内</w:t>
            </w:r>
          </w:p>
        </w:tc>
        <w:tc>
          <w:tcPr>
            <w:tcW w:w="2720" w:type="dxa"/>
            <w:gridSpan w:val="2"/>
            <w:tcBorders>
              <w:top w:val="single" w:color="D0D5DD" w:sz="6" w:space="0"/>
              <w:left w:val="single" w:color="D0D5DD" w:sz="6" w:space="0"/>
              <w:bottom w:val="single" w:color="D0D5DD" w:sz="6" w:space="0"/>
              <w:right w:val="single" w:color="D0D5DD" w:sz="6" w:space="0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F999553">
            <w:pPr>
              <w:spacing w:before="0" w:after="0" w:line="254" w:lineRule="auto"/>
              <w:jc w:val="center"/>
            </w:pPr>
            <w:r>
              <w:rPr>
                <w:rFonts w:ascii="Calibri" w:hAnsi="Calibri" w:eastAsia="微软雅黑"/>
                <w:b/>
                <w:color w:val="9B1C1C"/>
                <w:sz w:val="16"/>
              </w:rPr>
              <w:t>P0</w:t>
            </w:r>
          </w:p>
        </w:tc>
      </w:tr>
    </w:tbl>
    <w:p w14:paraId="11661278"/>
    <w:sectPr>
      <w:headerReference r:id="rId5" w:type="default"/>
      <w:footerReference r:id="rId6" w:type="default"/>
      <w:pgSz w:w="12240" w:h="15840"/>
      <w:pgMar w:top="1037" w:right="1123" w:bottom="979" w:left="1123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F8620">
    <w:pPr>
      <w:pStyle w:val="24"/>
      <w:spacing w:before="0" w:after="0" w:line="240" w:lineRule="auto"/>
      <w:jc w:val="right"/>
    </w:pPr>
    <w:r>
      <w:rPr>
        <w:rFonts w:ascii="Calibri" w:hAnsi="Calibri" w:eastAsia="微软雅黑"/>
        <w:b w:val="0"/>
        <w:color w:val="667085"/>
        <w:sz w:val="17"/>
      </w:rPr>
      <w:t>客户背景与需求拆解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23FBE">
    <w:pPr>
      <w:pStyle w:val="25"/>
      <w:spacing w:before="0" w:after="0" w:line="240" w:lineRule="auto"/>
    </w:pPr>
    <w:r>
      <w:rPr>
        <w:rFonts w:ascii="Calibri" w:hAnsi="Calibri" w:eastAsia="微软雅黑"/>
        <w:b w:val="0"/>
        <w:color w:val="667085"/>
        <w:sz w:val="17"/>
      </w:rPr>
      <w:t>江苏毅合捷汽车科技股份有限公司 | 产品主数据项目沟通材料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49C7ABA"/>
    <w:rsid w:val="2BA6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64" w:lineRule="auto"/>
    </w:pPr>
    <w:rPr>
      <w:rFonts w:ascii="微软雅黑" w:hAnsi="微软雅黑" w:eastAsia="微软雅黑" w:cstheme="minorBidi"/>
      <w:color w:val="1F2937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4188</Words>
  <Characters>4583</Characters>
  <Lines>0</Lines>
  <Paragraphs>0</Paragraphs>
  <TotalTime>908</TotalTime>
  <ScaleCrop>false</ScaleCrop>
  <LinksUpToDate>false</LinksUpToDate>
  <CharactersWithSpaces>4638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伊平川</cp:lastModifiedBy>
  <dcterms:modified xsi:type="dcterms:W3CDTF">2026-06-02T05:33:11Z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eyJoZGlkIjoiZjE0NTgxZmE4MzI5YjQ3YjdkMmFhOWRkMzFjMzFkYTkiLCJ1c2VySWQiOiI0MjcyNjcwOTAifQ==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F4F06EDEA49D4F168D5A79E106EFA7A2_12</vt:lpwstr>
  </property>
</Properties>
</file>