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6EF02">
      <w:pPr>
        <w:rPr>
          <w:rFonts w:hint="eastAsia" w:ascii="宋体" w:hAnsi="宋体" w:eastAsia="宋体"/>
          <w:sz w:val="48"/>
          <w:szCs w:val="48"/>
        </w:rPr>
      </w:pPr>
    </w:p>
    <w:p w14:paraId="5ECBDC44">
      <w:pPr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江苏毅合捷汽车股份有限公司</w:t>
      </w:r>
    </w:p>
    <w:p w14:paraId="4DCE13EA">
      <w:pPr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产品主数据项目需求文档</w:t>
      </w:r>
    </w:p>
    <w:p w14:paraId="75DED178">
      <w:pPr>
        <w:pStyle w:val="52"/>
        <w:rPr>
          <w:rFonts w:hint="eastAsia" w:ascii="宋体" w:hAnsi="宋体" w:eastAsia="宋体"/>
          <w:sz w:val="44"/>
          <w:szCs w:val="44"/>
        </w:rPr>
      </w:pPr>
    </w:p>
    <w:p w14:paraId="0016E428">
      <w:pPr>
        <w:spacing w:line="480" w:lineRule="auto"/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 xml:space="preserve">工作说明书（SOW） </w:t>
      </w:r>
    </w:p>
    <w:p w14:paraId="093B73E1">
      <w:pPr>
        <w:spacing w:line="480" w:lineRule="auto"/>
        <w:jc w:val="center"/>
        <w:rPr>
          <w:rFonts w:hint="eastAsia" w:ascii="宋体" w:hAnsi="宋体" w:eastAsia="宋体"/>
          <w:sz w:val="44"/>
          <w:szCs w:val="44"/>
        </w:rPr>
      </w:pPr>
    </w:p>
    <w:p w14:paraId="48D92BB2">
      <w:pPr>
        <w:rPr>
          <w:rFonts w:hint="eastAsia" w:ascii="宋体" w:hAnsi="宋体" w:eastAsia="宋体"/>
          <w:sz w:val="36"/>
          <w:szCs w:val="36"/>
        </w:rPr>
      </w:pPr>
    </w:p>
    <w:p w14:paraId="4E6E328F">
      <w:pPr>
        <w:rPr>
          <w:rFonts w:hint="eastAsia" w:ascii="宋体" w:hAnsi="宋体" w:eastAsia="宋体"/>
          <w:sz w:val="36"/>
          <w:szCs w:val="36"/>
        </w:rPr>
      </w:pPr>
    </w:p>
    <w:p w14:paraId="749678FA">
      <w:pPr>
        <w:rPr>
          <w:rFonts w:hint="eastAsia" w:ascii="宋体" w:hAnsi="宋体" w:eastAsia="宋体"/>
          <w:sz w:val="36"/>
          <w:szCs w:val="36"/>
        </w:rPr>
      </w:pPr>
    </w:p>
    <w:p w14:paraId="4BAC17A4">
      <w:pPr>
        <w:rPr>
          <w:rFonts w:hint="eastAsia" w:ascii="宋体" w:hAnsi="宋体" w:eastAsia="宋体"/>
          <w:sz w:val="36"/>
          <w:szCs w:val="36"/>
        </w:rPr>
      </w:pPr>
    </w:p>
    <w:p w14:paraId="2413BC22">
      <w:pPr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江苏毅合捷汽车股份有限公司</w:t>
      </w:r>
    </w:p>
    <w:p w14:paraId="242517C1">
      <w:pPr>
        <w:jc w:val="center"/>
        <w:rPr>
          <w:rFonts w:hint="eastAsia" w:ascii="宋体" w:hAnsi="宋体" w:eastAsia="宋体"/>
          <w:sz w:val="56"/>
          <w:szCs w:val="36"/>
        </w:rPr>
      </w:pPr>
    </w:p>
    <w:p w14:paraId="3E0D11D1">
      <w:pPr>
        <w:jc w:val="center"/>
        <w:rPr>
          <w:rFonts w:hint="eastAsia" w:ascii="宋体" w:hAnsi="宋体" w:eastAsia="宋体"/>
          <w:sz w:val="40"/>
          <w:szCs w:val="36"/>
        </w:rPr>
      </w:pPr>
      <w:r>
        <w:rPr>
          <w:rFonts w:hint="eastAsia" w:ascii="宋体" w:hAnsi="宋体" w:eastAsia="宋体"/>
          <w:bCs/>
          <w:sz w:val="32"/>
          <w:szCs w:val="28"/>
        </w:rPr>
        <w:t>二〇二六</w:t>
      </w:r>
      <w:r>
        <w:rPr>
          <w:rFonts w:hint="eastAsia" w:ascii="宋体" w:hAnsi="宋体" w:eastAsia="宋体"/>
          <w:sz w:val="32"/>
          <w:szCs w:val="28"/>
        </w:rPr>
        <w:t>年四月</w:t>
      </w:r>
    </w:p>
    <w:p w14:paraId="16715C70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15F4028A">
      <w:pPr>
        <w:spacing w:line="360" w:lineRule="auto"/>
        <w:rPr>
          <w:rFonts w:hint="eastAsia" w:ascii="宋体" w:hAnsi="宋体" w:eastAsia="宋体"/>
          <w:sz w:val="44"/>
          <w:szCs w:val="44"/>
        </w:rPr>
      </w:pPr>
    </w:p>
    <w:p w14:paraId="4D123768">
      <w:pPr>
        <w:spacing w:line="360" w:lineRule="auto"/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项目名称:</w:t>
      </w:r>
    </w:p>
    <w:p w14:paraId="4EE4715D">
      <w:pPr>
        <w:spacing w:line="360" w:lineRule="auto"/>
        <w:jc w:val="center"/>
        <w:rPr>
          <w:rFonts w:hint="eastAsia"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江苏毅合捷汽车股份有限公司</w:t>
      </w:r>
    </w:p>
    <w:p w14:paraId="2CDDDBCC">
      <w:pPr>
        <w:spacing w:line="360" w:lineRule="auto"/>
        <w:jc w:val="center"/>
        <w:rPr>
          <w:rFonts w:hint="eastAsia" w:ascii="宋体" w:hAnsi="宋体" w:eastAsia="宋体"/>
          <w:sz w:val="44"/>
          <w:szCs w:val="44"/>
        </w:rPr>
        <w:sectPr>
          <w:footerReference r:id="rId3" w:type="default"/>
          <w:pgSz w:w="11907" w:h="16840"/>
          <w:pgMar w:top="1440" w:right="1800" w:bottom="1440" w:left="1800" w:header="720" w:footer="720" w:gutter="0"/>
          <w:cols w:space="720" w:num="1"/>
          <w:titlePg/>
          <w:docGrid w:linePitch="360" w:charSpace="0"/>
        </w:sectPr>
      </w:pPr>
      <w:r>
        <w:rPr>
          <w:rFonts w:hint="eastAsia" w:ascii="宋体" w:hAnsi="宋体" w:eastAsia="宋体"/>
          <w:sz w:val="44"/>
          <w:szCs w:val="44"/>
        </w:rPr>
        <w:t>产品主数据项目</w:t>
      </w:r>
    </w:p>
    <w:sdt>
      <w:sdtPr>
        <w:rPr>
          <w:rFonts w:ascii="宋体" w:hAnsi="宋体" w:eastAsia="宋体"/>
          <w:sz w:val="32"/>
          <w:szCs w:val="36"/>
          <w:lang w:val="zh-CN"/>
        </w:rPr>
        <w:id w:val="640539257"/>
        <w:docPartObj>
          <w:docPartGallery w:val="Table of Contents"/>
          <w:docPartUnique/>
        </w:docPartObj>
      </w:sdtPr>
      <w:sdtEndPr>
        <w:rPr>
          <w:rFonts w:ascii="宋体" w:hAnsi="宋体" w:eastAsia="宋体"/>
          <w:sz w:val="21"/>
          <w:szCs w:val="22"/>
          <w:lang w:val="zh-CN"/>
        </w:rPr>
      </w:sdtEndPr>
      <w:sdtContent>
        <w:p w14:paraId="5645E0DF">
          <w:pPr>
            <w:jc w:val="center"/>
            <w:rPr>
              <w:rFonts w:hint="eastAsia" w:ascii="宋体" w:hAnsi="宋体" w:eastAsia="宋体"/>
              <w:b/>
              <w:bCs/>
              <w:sz w:val="32"/>
              <w:szCs w:val="36"/>
            </w:rPr>
          </w:pPr>
          <w:r>
            <w:rPr>
              <w:rFonts w:hint="eastAsia" w:ascii="宋体" w:hAnsi="宋体" w:eastAsia="宋体"/>
              <w:b/>
              <w:bCs/>
              <w:sz w:val="32"/>
              <w:szCs w:val="36"/>
              <w:lang w:val="zh-CN"/>
            </w:rPr>
            <w:t>目</w:t>
          </w:r>
          <w:r>
            <w:rPr>
              <w:rFonts w:ascii="宋体" w:hAnsi="宋体" w:eastAsia="宋体"/>
              <w:b/>
              <w:bCs/>
              <w:sz w:val="32"/>
              <w:szCs w:val="36"/>
              <w:lang w:val="zh-CN"/>
            </w:rPr>
            <w:t xml:space="preserve">  </w:t>
          </w:r>
          <w:r>
            <w:rPr>
              <w:rFonts w:hint="eastAsia" w:ascii="宋体" w:hAnsi="宋体" w:eastAsia="宋体"/>
              <w:b/>
              <w:bCs/>
              <w:sz w:val="32"/>
              <w:szCs w:val="36"/>
              <w:lang w:val="zh-CN"/>
            </w:rPr>
            <w:t>录</w:t>
          </w:r>
        </w:p>
        <w:p w14:paraId="3C36EE03">
          <w:pPr>
            <w:pStyle w:val="26"/>
            <w:tabs>
              <w:tab w:val="left" w:pos="42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rPr>
              <w:rFonts w:ascii="宋体" w:hAnsi="宋体" w:eastAsia="宋体"/>
              <w:b/>
              <w:bCs/>
              <w:lang w:val="zh-CN"/>
            </w:rPr>
            <w:fldChar w:fldCharType="begin"/>
          </w:r>
          <w:r>
            <w:rPr>
              <w:rFonts w:ascii="宋体" w:hAnsi="宋体" w:eastAsia="宋体"/>
              <w:b/>
              <w:bCs/>
              <w:lang w:val="zh-CN"/>
            </w:rPr>
            <w:instrText xml:space="preserve"> TOC \o "1-3" \h \z \u </w:instrText>
          </w:r>
          <w:r>
            <w:rPr>
              <w:rFonts w:ascii="宋体" w:hAnsi="宋体" w:eastAsia="宋体"/>
              <w:b/>
              <w:bCs/>
              <w:lang w:val="zh-CN"/>
            </w:rPr>
            <w:fldChar w:fldCharType="separate"/>
          </w:r>
          <w:r>
            <w:fldChar w:fldCharType="begin"/>
          </w:r>
          <w:r>
            <w:instrText xml:space="preserve"> HYPERLINK \l "_Toc229660027" </w:instrText>
          </w:r>
          <w:r>
            <w:fldChar w:fldCharType="separate"/>
          </w:r>
          <w:r>
            <w:rPr>
              <w:rStyle w:val="38"/>
            </w:rPr>
            <w:t>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  <w:rFonts w:ascii="宋体" w:hAnsi="宋体" w:eastAsia="宋体"/>
            </w:rPr>
            <w:t>概述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_Toc229660027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255C15C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"_Toc229660028" </w:instrText>
          </w:r>
          <w:r>
            <w:fldChar w:fldCharType="separate"/>
          </w:r>
          <w:r>
            <w:rPr>
              <w:rStyle w:val="38"/>
              <w:rFonts w:ascii="宋体" w:hAnsi="宋体" w:eastAsia="宋体"/>
            </w:rPr>
            <w:t>1.1.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项目背景与核心痛点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_Toc229660028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EE798D9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"_Toc229660029" </w:instrText>
          </w:r>
          <w:r>
            <w:fldChar w:fldCharType="separate"/>
          </w:r>
          <w:r>
            <w:rPr>
              <w:rStyle w:val="38"/>
              <w:rFonts w:ascii="宋体" w:hAnsi="宋体" w:eastAsia="宋体"/>
            </w:rPr>
            <w:t>1.2.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  <w:rFonts w:ascii="宋体" w:hAnsi="宋体" w:eastAsia="宋体"/>
            </w:rPr>
            <w:t>编写目的</w:t>
          </w:r>
          <w:r>
            <w:rPr>
              <w:rStyle w:val="38"/>
            </w:rPr>
            <w:t>与使用说明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_Toc229660029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5DFA00A">
          <w:pPr>
            <w:pStyle w:val="26"/>
            <w:tabs>
              <w:tab w:val="left" w:pos="42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"_Toc229660030" </w:instrText>
          </w:r>
          <w:r>
            <w:fldChar w:fldCharType="separate"/>
          </w:r>
          <w:r>
            <w:rPr>
              <w:rStyle w:val="38"/>
            </w:rPr>
            <w:t>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  <w:rFonts w:ascii="宋体" w:hAnsi="宋体" w:eastAsia="宋体"/>
            </w:rPr>
            <w:t>我司</w:t>
          </w:r>
          <w:r>
            <w:rPr>
              <w:rStyle w:val="38"/>
            </w:rPr>
            <w:t>现状与痛点分析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F0B65FE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"_Toc229660031" </w:instrText>
          </w:r>
          <w:r>
            <w:fldChar w:fldCharType="separate"/>
          </w:r>
          <w:r>
            <w:rPr>
              <w:rStyle w:val="38"/>
            </w:rPr>
            <w:t>2.1.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行业背景与挑战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3548A41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"_Toc229660032" </w:instrText>
          </w:r>
          <w:r>
            <w:fldChar w:fldCharType="separate"/>
          </w:r>
          <w:r>
            <w:rPr>
              <w:rStyle w:val="38"/>
              <w:rFonts w:ascii="宋体" w:hAnsi="宋体" w:eastAsia="宋体"/>
            </w:rPr>
            <w:t>2.2.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汽车零部件售后市场业务特殊性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D48B64F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"_Toc229660033" </w:instrText>
          </w:r>
          <w:r>
            <w:fldChar w:fldCharType="separate"/>
          </w:r>
          <w:r>
            <w:rPr>
              <w:rStyle w:val="38"/>
            </w:rPr>
            <w:t>2.3.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我司当前产品主数据管理现状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986AE3F">
          <w:pPr>
            <w:pStyle w:val="26"/>
            <w:tabs>
              <w:tab w:val="left" w:pos="42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"_Toc229660034" </w:instrText>
          </w:r>
          <w:r>
            <w:fldChar w:fldCharType="separate"/>
          </w:r>
          <w:r>
            <w:rPr>
              <w:rStyle w:val="38"/>
            </w:rPr>
            <w:t>3.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项目目标与初步规划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ED76D8C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"_Toc229660035" </w:instrText>
          </w:r>
          <w:r>
            <w:fldChar w:fldCharType="separate"/>
          </w:r>
          <w:r>
            <w:rPr>
              <w:rStyle w:val="38"/>
            </w:rPr>
            <w:t>3.1.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总体目标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9925259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"_Toc229660036" </w:instrText>
          </w:r>
          <w:r>
            <w:fldChar w:fldCharType="separate"/>
          </w:r>
          <w:r>
            <w:rPr>
              <w:rStyle w:val="38"/>
            </w:rPr>
            <w:t>3.1.1.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核心目标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D6E0CE6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"_Toc229660037" </w:instrText>
          </w:r>
          <w:r>
            <w:fldChar w:fldCharType="separate"/>
          </w:r>
          <w:r>
            <w:rPr>
              <w:rStyle w:val="38"/>
            </w:rPr>
            <w:t>3.2.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系统间数据分布架构规划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1F1DB67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"_Toc229660038" </w:instrText>
          </w:r>
          <w:r>
            <w:fldChar w:fldCharType="separate"/>
          </w:r>
          <w:r>
            <w:rPr>
              <w:rStyle w:val="38"/>
            </w:rPr>
            <w:t>3.2.1.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系统数据定位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67ABE08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"_Toc229660039" </w:instrText>
          </w:r>
          <w:r>
            <w:fldChar w:fldCharType="separate"/>
          </w:r>
          <w:r>
            <w:rPr>
              <w:rStyle w:val="38"/>
            </w:rPr>
            <w:t>3.2.2.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数据交互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_Toc229660039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DD91AEB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"_Toc229660040" </w:instrText>
          </w:r>
          <w:r>
            <w:fldChar w:fldCharType="separate"/>
          </w:r>
          <w:r>
            <w:rPr>
              <w:rStyle w:val="38"/>
            </w:rPr>
            <w:t>3.2.3.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产品数据流转核心原则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CEA63F7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"_Toc229660041" </w:instrText>
          </w:r>
          <w:r>
            <w:fldChar w:fldCharType="separate"/>
          </w:r>
          <w:r>
            <w:rPr>
              <w:rStyle w:val="38"/>
            </w:rPr>
            <w:t>3.3.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产品业务流程规划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709D638">
          <w:pPr>
            <w:pStyle w:val="26"/>
            <w:tabs>
              <w:tab w:val="left" w:pos="42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"_Toc229660042" </w:instrText>
          </w:r>
          <w:r>
            <w:fldChar w:fldCharType="separate"/>
          </w:r>
          <w:r>
            <w:rPr>
              <w:rStyle w:val="38"/>
            </w:rPr>
            <w:t>4.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系统集成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6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F6BF3DE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"_Toc229660043" </w:instrText>
          </w:r>
          <w:r>
            <w:fldChar w:fldCharType="separate"/>
          </w:r>
          <w:r>
            <w:rPr>
              <w:rStyle w:val="38"/>
            </w:rPr>
            <w:t>4.1.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接口配置化能力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B77571A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"_Toc229660044" </w:instrText>
          </w:r>
          <w:r>
            <w:fldChar w:fldCharType="separate"/>
          </w:r>
          <w:r>
            <w:rPr>
              <w:rStyle w:val="38"/>
            </w:rPr>
            <w:t>4.2.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集成监控与运维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C5556E9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"_Toc229660045" </w:instrText>
          </w:r>
          <w:r>
            <w:fldChar w:fldCharType="separate"/>
          </w:r>
          <w:r>
            <w:rPr>
              <w:rStyle w:val="38"/>
            </w:rPr>
            <w:t>4.2.1.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分发状态监控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0F41A03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"_Toc229660046" </w:instrText>
          </w:r>
          <w:r>
            <w:fldChar w:fldCharType="separate"/>
          </w:r>
          <w:r>
            <w:rPr>
              <w:rStyle w:val="38"/>
            </w:rPr>
            <w:t>4.2.2.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异常预警与通知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F96B82F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"_Toc229660047" </w:instrText>
          </w:r>
          <w:r>
            <w:fldChar w:fldCharType="separate"/>
          </w:r>
          <w:r>
            <w:rPr>
              <w:rStyle w:val="38"/>
            </w:rPr>
            <w:t>4.2.3.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失败重发机制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424CDC5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"_Toc229660048" </w:instrText>
          </w:r>
          <w:r>
            <w:fldChar w:fldCharType="separate"/>
          </w:r>
          <w:r>
            <w:rPr>
              <w:rStyle w:val="38"/>
            </w:rPr>
            <w:t>4.2.4.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集成日志管理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2F6F194">
          <w:pPr>
            <w:pStyle w:val="20"/>
            <w:tabs>
              <w:tab w:val="left" w:pos="168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"_Toc229660049" </w:instrText>
          </w:r>
          <w:r>
            <w:fldChar w:fldCharType="separate"/>
          </w:r>
          <w:r>
            <w:rPr>
              <w:rStyle w:val="38"/>
            </w:rPr>
            <w:t>4.2.5.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集成健康度看板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_Toc229660049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69EB401">
          <w:pPr>
            <w:pStyle w:val="26"/>
            <w:tabs>
              <w:tab w:val="left" w:pos="42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"_Toc229660050" </w:instrText>
          </w:r>
          <w:r>
            <w:fldChar w:fldCharType="separate"/>
          </w:r>
          <w:r>
            <w:rPr>
              <w:rStyle w:val="38"/>
            </w:rPr>
            <w:t>5.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核心需求清单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16C39F2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"_Toc229660051" </w:instrText>
          </w:r>
          <w:r>
            <w:fldChar w:fldCharType="separate"/>
          </w:r>
          <w:r>
            <w:rPr>
              <w:rStyle w:val="38"/>
            </w:rPr>
            <w:t>5.1.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产品数据模型与标准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FF7B980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"_Toc229660052" </w:instrText>
          </w:r>
          <w:r>
            <w:fldChar w:fldCharType="separate"/>
          </w:r>
          <w:r>
            <w:rPr>
              <w:rStyle w:val="38"/>
            </w:rPr>
            <w:t>5.2.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车表与适配管理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D94535E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"_Toc229660053" </w:instrText>
          </w:r>
          <w:r>
            <w:fldChar w:fldCharType="separate"/>
          </w:r>
          <w:r>
            <w:rPr>
              <w:rStyle w:val="38"/>
            </w:rPr>
            <w:t>5.3.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数据查询与检索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10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E4F1E55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"_Toc229660054" </w:instrText>
          </w:r>
          <w:r>
            <w:fldChar w:fldCharType="separate"/>
          </w:r>
          <w:r>
            <w:rPr>
              <w:rStyle w:val="38"/>
            </w:rPr>
            <w:t>5.4.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数据校验与质量管理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10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C4B6CE8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"_Toc229660055" </w:instrText>
          </w:r>
          <w:r>
            <w:fldChar w:fldCharType="separate"/>
          </w:r>
          <w:r>
            <w:rPr>
              <w:rStyle w:val="38"/>
            </w:rPr>
            <w:t>5.5.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产品主数据全生命周期管理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10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49DEBCD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"_Toc229660056" </w:instrText>
          </w:r>
          <w:r>
            <w:fldChar w:fldCharType="separate"/>
          </w:r>
          <w:r>
            <w:rPr>
              <w:rStyle w:val="38"/>
            </w:rPr>
            <w:t>5.6.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系统集成与数据同步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96C0A6A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"_Toc229660057" </w:instrText>
          </w:r>
          <w:r>
            <w:fldChar w:fldCharType="separate"/>
          </w:r>
          <w:r>
            <w:rPr>
              <w:rStyle w:val="38"/>
            </w:rPr>
            <w:t>5.7.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营销询价与报价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0D85069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"_Toc229660058" </w:instrText>
          </w:r>
          <w:r>
            <w:fldChar w:fldCharType="separate"/>
          </w:r>
          <w:r>
            <w:rPr>
              <w:rStyle w:val="38"/>
            </w:rPr>
            <w:t>5.8.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图片与目录处理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591A610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"_Toc229660059" </w:instrText>
          </w:r>
          <w:r>
            <w:fldChar w:fldCharType="separate"/>
          </w:r>
          <w:r>
            <w:rPr>
              <w:rStyle w:val="38"/>
            </w:rPr>
            <w:t>5.9.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历史数据清洗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_Toc229660059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F9C6618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"_Toc229660060" </w:instrText>
          </w:r>
          <w:r>
            <w:fldChar w:fldCharType="separate"/>
          </w:r>
          <w:r>
            <w:rPr>
              <w:rStyle w:val="38"/>
            </w:rPr>
            <w:t>5.10.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报表与统计分析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_Toc229660060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12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E05559F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"_Toc229660061" </w:instrText>
          </w:r>
          <w:r>
            <w:fldChar w:fldCharType="separate"/>
          </w:r>
          <w:r>
            <w:rPr>
              <w:rStyle w:val="38"/>
            </w:rPr>
            <w:t>5.11.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权限与安全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_Toc229660061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DB2A9BA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"_Toc229660062" </w:instrText>
          </w:r>
          <w:r>
            <w:fldChar w:fldCharType="separate"/>
          </w:r>
          <w:r>
            <w:rPr>
              <w:rStyle w:val="38"/>
            </w:rPr>
            <w:t>5.12.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非功能性需求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_Toc229660062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A260CE0">
          <w:pPr>
            <w:pStyle w:val="26"/>
            <w:tabs>
              <w:tab w:val="left" w:pos="42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"_Toc229660063" </w:instrText>
          </w:r>
          <w:r>
            <w:fldChar w:fldCharType="separate"/>
          </w:r>
          <w:r>
            <w:rPr>
              <w:rStyle w:val="38"/>
            </w:rPr>
            <w:t>6.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项目实施要求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_Toc229660063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0C8D214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"_Toc229660064" </w:instrText>
          </w:r>
          <w:r>
            <w:fldChar w:fldCharType="separate"/>
          </w:r>
          <w:r>
            <w:rPr>
              <w:rStyle w:val="38"/>
            </w:rPr>
            <w:t>6.1.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项目阶段与计划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_Toc229660064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133027E7">
          <w:pPr>
            <w:pStyle w:val="29"/>
            <w:tabs>
              <w:tab w:val="left" w:pos="1260"/>
              <w:tab w:val="right" w:leader="dot" w:pos="8296"/>
            </w:tabs>
            <w:rPr>
              <w:rFonts w:hint="eastAsia"/>
              <w:sz w:val="22"/>
              <w:szCs w:val="24"/>
            </w:rPr>
          </w:pPr>
          <w:r>
            <w:fldChar w:fldCharType="begin"/>
          </w:r>
          <w:r>
            <w:instrText xml:space="preserve"> HYPERLINK \l "_Toc229660065" </w:instrText>
          </w:r>
          <w:r>
            <w:fldChar w:fldCharType="separate"/>
          </w:r>
          <w:r>
            <w:rPr>
              <w:rStyle w:val="38"/>
            </w:rPr>
            <w:t>6.2.</w:t>
          </w:r>
          <w:r>
            <w:rPr>
              <w:rFonts w:hint="eastAsia"/>
              <w:sz w:val="22"/>
              <w:szCs w:val="24"/>
            </w:rPr>
            <w:tab/>
          </w:r>
          <w:r>
            <w:rPr>
              <w:rStyle w:val="38"/>
            </w:rPr>
            <w:t>培训与知识交接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_Toc229660065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13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055FE75">
          <w:pPr>
            <w:spacing w:line="360" w:lineRule="auto"/>
            <w:rPr>
              <w:rFonts w:hint="eastAsia" w:ascii="宋体" w:hAnsi="宋体" w:eastAsia="宋体"/>
            </w:rPr>
          </w:pPr>
          <w:r>
            <w:rPr>
              <w:rFonts w:ascii="宋体" w:hAnsi="宋体" w:eastAsia="宋体"/>
              <w:bCs/>
              <w:lang w:val="zh-CN"/>
            </w:rPr>
            <w:fldChar w:fldCharType="end"/>
          </w:r>
        </w:p>
      </w:sdtContent>
    </w:sdt>
    <w:p w14:paraId="0E0FBFCD">
      <w:pPr>
        <w:pStyle w:val="2"/>
        <w:rPr>
          <w:rFonts w:hint="eastAsia" w:ascii="宋体" w:hAnsi="宋体" w:eastAsia="宋体"/>
        </w:rPr>
        <w:sectPr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p w14:paraId="0D3DC12A">
      <w:pPr>
        <w:pStyle w:val="2"/>
        <w:rPr>
          <w:rFonts w:hint="eastAsia" w:ascii="宋体" w:hAnsi="宋体" w:eastAsia="宋体"/>
        </w:rPr>
      </w:pPr>
      <w:bookmarkStart w:id="0" w:name="_Toc229660027"/>
      <w:r>
        <w:rPr>
          <w:rFonts w:hint="eastAsia" w:ascii="宋体" w:hAnsi="宋体" w:eastAsia="宋体"/>
        </w:rPr>
        <w:t>概述</w:t>
      </w:r>
      <w:bookmarkEnd w:id="0"/>
      <w:bookmarkStart w:id="1" w:name="_Toc72955278"/>
      <w:bookmarkEnd w:id="1"/>
      <w:bookmarkStart w:id="2" w:name="_Toc72955345"/>
      <w:bookmarkEnd w:id="2"/>
      <w:bookmarkStart w:id="3" w:name="_Toc72952482"/>
      <w:bookmarkEnd w:id="3"/>
    </w:p>
    <w:p w14:paraId="152829C0">
      <w:pPr>
        <w:pStyle w:val="3"/>
        <w:ind w:left="0" w:firstLine="0"/>
        <w:rPr>
          <w:rFonts w:hint="eastAsia" w:ascii="宋体" w:hAnsi="宋体" w:eastAsia="宋体"/>
        </w:rPr>
      </w:pPr>
      <w:bookmarkStart w:id="4" w:name="_Toc229660028"/>
      <w:r>
        <w:rPr>
          <w:rFonts w:hint="eastAsia"/>
        </w:rPr>
        <w:t>项目背景与核心痛点</w:t>
      </w:r>
      <w:bookmarkEnd w:id="4"/>
    </w:p>
    <w:p w14:paraId="40D654C9">
      <w:pPr>
        <w:pStyle w:val="64"/>
        <w:rPr>
          <w:rFonts w:hint="eastAsia" w:asciiTheme="minorHAnsi" w:hAnsiTheme="minorHAnsi" w:eastAsiaTheme="minorEastAsia"/>
          <w:sz w:val="21"/>
          <w:szCs w:val="22"/>
        </w:rPr>
      </w:pPr>
      <w:r>
        <w:rPr>
          <w:rFonts w:hint="eastAsia"/>
        </w:rPr>
        <w:t>作为汽车零部件售后市场企业，我司产品主数据管理面临“适配性要求高、数据来源多元、数据动态更新、应用场景多元”的行业特殊挑战。当前自研PDE系统在管理逻辑、支撑能力、拓展功能等方面已难以满足业务发展需求，亟需通过专业主数据管理平台实现产品主数据的统一、集中、规范管理。</w:t>
      </w:r>
    </w:p>
    <w:p w14:paraId="797F7909">
      <w:pPr>
        <w:pStyle w:val="3"/>
        <w:ind w:left="0" w:firstLine="0"/>
        <w:rPr>
          <w:rFonts w:hint="eastAsia" w:ascii="宋体" w:hAnsi="宋体" w:eastAsia="宋体"/>
        </w:rPr>
      </w:pPr>
      <w:bookmarkStart w:id="5" w:name="_Toc229660029"/>
      <w:r>
        <w:rPr>
          <w:rFonts w:ascii="宋体" w:hAnsi="宋体" w:eastAsia="宋体"/>
        </w:rPr>
        <w:t>编写目的</w:t>
      </w:r>
      <w:r>
        <w:rPr>
          <w:rFonts w:hint="eastAsia"/>
        </w:rPr>
        <w:t>与使用说明</w:t>
      </w:r>
      <w:bookmarkEnd w:id="5"/>
    </w:p>
    <w:p w14:paraId="2A533C31">
      <w:pPr>
        <w:pStyle w:val="64"/>
        <w:rPr>
          <w:rFonts w:hint="eastAsia"/>
        </w:rPr>
      </w:pPr>
      <w:bookmarkStart w:id="6" w:name="_Toc165999750"/>
      <w:r>
        <w:rPr>
          <w:rFonts w:hint="eastAsia"/>
        </w:rPr>
        <w:t>本文档为我司“产品主数据项目”的正式需求文件，供潜在供应商在方案编制、产品演示及项目实施过程中使用。</w:t>
      </w:r>
    </w:p>
    <w:p w14:paraId="5638E942">
      <w:pPr>
        <w:pStyle w:val="64"/>
        <w:rPr>
          <w:rFonts w:hint="eastAsia"/>
        </w:rPr>
      </w:pPr>
      <w:r>
        <w:rPr>
          <w:rFonts w:hint="eastAsia"/>
        </w:rPr>
        <w:t>使用说明：</w:t>
      </w:r>
    </w:p>
    <w:p w14:paraId="6059716D">
      <w:pPr>
        <w:pStyle w:val="92"/>
        <w:rPr>
          <w:rFonts w:hint="eastAsia"/>
        </w:rPr>
      </w:pPr>
      <w:r>
        <w:rPr>
          <w:rFonts w:hint="eastAsia"/>
        </w:rPr>
        <w:t>本文档定义了我司对项目的核心需求和期望目标，供应商的响应方案需逐项覆盖</w:t>
      </w:r>
    </w:p>
    <w:p w14:paraId="62614461">
      <w:pPr>
        <w:pStyle w:val="92"/>
        <w:rPr>
          <w:rFonts w:hint="eastAsia"/>
        </w:rPr>
      </w:pPr>
      <w:r>
        <w:rPr>
          <w:rFonts w:hint="eastAsia"/>
        </w:rPr>
        <w:t>“我方要求”“供应商需提供”等表述为强制性要求</w:t>
      </w:r>
    </w:p>
    <w:p w14:paraId="488918A7">
      <w:pPr>
        <w:pStyle w:val="92"/>
        <w:rPr>
          <w:rFonts w:hint="eastAsia"/>
        </w:rPr>
      </w:pPr>
      <w:r>
        <w:rPr>
          <w:rFonts w:hint="eastAsia"/>
        </w:rPr>
        <w:t>“建议”“可参考”等表述为指导性要求，供应商可根据自身产品特点提出更优方案</w:t>
      </w:r>
    </w:p>
    <w:p w14:paraId="4E838939">
      <w:pPr>
        <w:pStyle w:val="92"/>
        <w:rPr>
          <w:rFonts w:hint="eastAsia"/>
        </w:rPr>
      </w:pPr>
      <w:r>
        <w:rPr>
          <w:rFonts w:hint="eastAsia"/>
        </w:rPr>
        <w:t>供应商在响应时，应明确标注各项需求的满足程度（完全满足/部分满足需定制/不满足）</w:t>
      </w:r>
    </w:p>
    <w:bookmarkEnd w:id="6"/>
    <w:p w14:paraId="27341F48">
      <w:pPr>
        <w:pStyle w:val="2"/>
        <w:rPr>
          <w:rFonts w:hint="eastAsia" w:ascii="宋体" w:hAnsi="宋体" w:eastAsia="宋体"/>
        </w:rPr>
      </w:pPr>
      <w:bookmarkStart w:id="7" w:name="_Toc229660030"/>
      <w:bookmarkStart w:id="8" w:name="_Hlk100433298"/>
      <w:r>
        <w:rPr>
          <w:rFonts w:hint="eastAsia" w:ascii="宋体" w:hAnsi="宋体" w:eastAsia="宋体"/>
        </w:rPr>
        <w:t>我司</w:t>
      </w:r>
      <w:r>
        <w:rPr>
          <w:rFonts w:hint="eastAsia"/>
        </w:rPr>
        <w:t>现状与痛点分析</w:t>
      </w:r>
      <w:bookmarkEnd w:id="7"/>
    </w:p>
    <w:p w14:paraId="15A0E340">
      <w:pPr>
        <w:pStyle w:val="3"/>
        <w:ind w:left="0" w:firstLine="0"/>
        <w:rPr>
          <w:rFonts w:hint="eastAsia"/>
        </w:rPr>
      </w:pPr>
      <w:bookmarkStart w:id="9" w:name="_Toc229660031"/>
      <w:bookmarkStart w:id="10" w:name="_Toc184929731"/>
      <w:bookmarkStart w:id="11" w:name="_Toc20176"/>
      <w:bookmarkStart w:id="12" w:name="_Toc10502"/>
      <w:r>
        <w:rPr>
          <w:rFonts w:hint="eastAsia"/>
        </w:rPr>
        <w:t>行业背景与挑战</w:t>
      </w:r>
      <w:bookmarkEnd w:id="9"/>
    </w:p>
    <w:p w14:paraId="583ADCC6">
      <w:pPr>
        <w:pStyle w:val="64"/>
        <w:rPr>
          <w:rFonts w:hint="eastAsia"/>
        </w:rPr>
      </w:pPr>
      <w:r>
        <w:rPr>
          <w:rFonts w:hint="eastAsia"/>
        </w:rPr>
        <w:t>我司在产品数据融合方面普遍面临以下挑战：</w:t>
      </w:r>
    </w:p>
    <w:p w14:paraId="65347F8E">
      <w:pPr>
        <w:pStyle w:val="92"/>
        <w:rPr>
          <w:rFonts w:hint="eastAsia"/>
        </w:rPr>
      </w:pPr>
      <w:r>
        <w:rPr>
          <w:rFonts w:hint="eastAsia"/>
        </w:rPr>
        <w:t>缺少标准：主数据编码规则、命名规则、分类规则、属性内容不统一，造成业务流程中数据质量差。</w:t>
      </w:r>
    </w:p>
    <w:p w14:paraId="2A0E4C72">
      <w:pPr>
        <w:pStyle w:val="92"/>
        <w:rPr>
          <w:rFonts w:hint="eastAsia"/>
        </w:rPr>
      </w:pPr>
      <w:r>
        <w:rPr>
          <w:rFonts w:hint="eastAsia"/>
        </w:rPr>
        <w:t>缺少数据Owner：跨领域调用的主数据，缺少数据Owner，没有数据治理委员会讨论和看护数据标准，监控数据质量。</w:t>
      </w:r>
    </w:p>
    <w:p w14:paraId="01976D70">
      <w:pPr>
        <w:pStyle w:val="92"/>
        <w:rPr>
          <w:rFonts w:hint="eastAsia"/>
        </w:rPr>
      </w:pPr>
      <w:r>
        <w:rPr>
          <w:rFonts w:hint="eastAsia"/>
        </w:rPr>
        <w:t>缺少平台：没有专门管理平台，现有管理工具难以满足管理需求，主数据难以统一，口径不一致。</w:t>
      </w:r>
    </w:p>
    <w:p w14:paraId="294E01C2">
      <w:pPr>
        <w:pStyle w:val="92"/>
        <w:rPr>
          <w:rFonts w:hint="eastAsia"/>
        </w:rPr>
      </w:pPr>
      <w:r>
        <w:rPr>
          <w:rFonts w:hint="eastAsia"/>
        </w:rPr>
        <w:t>缺少规范：主数据在不同领域中如何传递业务流程和规则不明确，信息化建设缺少业务输入。</w:t>
      </w:r>
    </w:p>
    <w:bookmarkEnd w:id="10"/>
    <w:bookmarkEnd w:id="11"/>
    <w:p w14:paraId="30A63F6D">
      <w:pPr>
        <w:pStyle w:val="3"/>
        <w:ind w:left="0" w:firstLine="0"/>
        <w:rPr>
          <w:rFonts w:hint="eastAsia" w:ascii="宋体" w:hAnsi="宋体" w:eastAsia="宋体"/>
        </w:rPr>
      </w:pPr>
      <w:bookmarkStart w:id="13" w:name="_Toc229660032"/>
      <w:r>
        <w:rPr>
          <w:rFonts w:hint="eastAsia"/>
        </w:rPr>
        <w:t>汽车零部件售后市场业务特殊性</w:t>
      </w:r>
      <w:bookmarkEnd w:id="13"/>
      <w:bookmarkStart w:id="14" w:name="_Toc184929732"/>
    </w:p>
    <w:p w14:paraId="74DC16AB"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我司所处的汽车零部件售后市场与主机配套市场（OEM、ODM）存在本质差异，产品主数据管理需围绕“售后适配性、市场响应快、数据来源杂、应用场景多”的核心需求展开。</w:t>
      </w:r>
    </w:p>
    <w:p w14:paraId="3A5E8D0E">
      <w:pPr>
        <w:pStyle w:val="64"/>
        <w:ind w:firstLine="0"/>
        <w:rPr>
          <w:rFonts w:hint="eastAsia"/>
        </w:rPr>
      </w:pP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 w14:paraId="35539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585615BF">
            <w:pPr>
              <w:pStyle w:val="92"/>
              <w:numPr>
                <w:ilvl w:val="0"/>
                <w:numId w:val="0"/>
              </w:num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核心需求</w:t>
            </w:r>
          </w:p>
        </w:tc>
        <w:tc>
          <w:tcPr>
            <w:tcW w:w="6458" w:type="dxa"/>
            <w:vAlign w:val="center"/>
          </w:tcPr>
          <w:p w14:paraId="798D1B0C">
            <w:pPr>
              <w:pStyle w:val="64"/>
              <w:ind w:firstLine="0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需求明细</w:t>
            </w:r>
          </w:p>
        </w:tc>
      </w:tr>
      <w:tr w14:paraId="2D83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restart"/>
            <w:vAlign w:val="center"/>
          </w:tcPr>
          <w:p w14:paraId="6247834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适配性要求高</w:t>
            </w:r>
          </w:p>
        </w:tc>
        <w:tc>
          <w:tcPr>
            <w:tcW w:w="6458" w:type="dxa"/>
            <w:vAlign w:val="center"/>
          </w:tcPr>
          <w:p w14:paraId="6C8460D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需建立“整车厂-车型-年款-配置-增压器型号-公司产品”全链路关联</w:t>
            </w:r>
          </w:p>
        </w:tc>
      </w:tr>
      <w:tr w14:paraId="34F4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315D04F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5893B0D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一款增压器适配多款车型、一款车型对应多款替代增压器，且需匹配发动机等细节配置</w:t>
            </w:r>
          </w:p>
        </w:tc>
      </w:tr>
      <w:tr w14:paraId="3FD01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1C72230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61B6E08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关联关系复杂，管理难度大</w:t>
            </w:r>
          </w:p>
        </w:tc>
      </w:tr>
      <w:tr w14:paraId="1FEF0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restart"/>
            <w:vAlign w:val="center"/>
          </w:tcPr>
          <w:p w14:paraId="2CF816D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数据来源多元</w:t>
            </w:r>
          </w:p>
        </w:tc>
        <w:tc>
          <w:tcPr>
            <w:tcW w:w="6458" w:type="dxa"/>
            <w:vAlign w:val="center"/>
          </w:tcPr>
          <w:p w14:paraId="4491943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数据来自整车厂官方增压器数据、企业自研生产增压器数据、市场第三方增压器数据</w:t>
            </w:r>
          </w:p>
        </w:tc>
      </w:tr>
      <w:tr w14:paraId="52598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2F85CCE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3B12913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存在编码/格式/参数不统一问题</w:t>
            </w:r>
          </w:p>
        </w:tc>
      </w:tr>
      <w:tr w14:paraId="7BD5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50E4B9E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71BD077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需兼容ACES、PIES行业标准</w:t>
            </w:r>
          </w:p>
        </w:tc>
      </w:tr>
      <w:tr w14:paraId="57437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445854D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0BBC70E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标准化难度大，整合复杂</w:t>
            </w:r>
          </w:p>
        </w:tc>
      </w:tr>
      <w:tr w14:paraId="3CE8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restart"/>
            <w:vAlign w:val="center"/>
          </w:tcPr>
          <w:p w14:paraId="5313966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数据动态更新</w:t>
            </w:r>
          </w:p>
        </w:tc>
        <w:tc>
          <w:tcPr>
            <w:tcW w:w="6458" w:type="dxa"/>
            <w:vAlign w:val="center"/>
          </w:tcPr>
          <w:p w14:paraId="317DA9D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受整车厂车型迭代/停产/召回、增压器技术升级/替代件推出影响，数据需持续更新</w:t>
            </w:r>
          </w:p>
        </w:tc>
      </w:tr>
      <w:tr w14:paraId="2F84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37D72AA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548C903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质量体系要求数据实时准确</w:t>
            </w:r>
          </w:p>
        </w:tc>
      </w:tr>
      <w:tr w14:paraId="31AE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19012EE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5D7020F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时效性极强，变更频繁</w:t>
            </w:r>
          </w:p>
        </w:tc>
      </w:tr>
      <w:tr w14:paraId="5CBA0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restart"/>
            <w:vAlign w:val="center"/>
          </w:tcPr>
          <w:p w14:paraId="0B99FE6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应用场景多元</w:t>
            </w:r>
          </w:p>
        </w:tc>
        <w:tc>
          <w:tcPr>
            <w:tcW w:w="6458" w:type="dxa"/>
            <w:vAlign w:val="center"/>
          </w:tcPr>
          <w:p w14:paraId="2DC0E91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支撑销售、研发、生产、仓储、客服等部门协同</w:t>
            </w:r>
          </w:p>
        </w:tc>
      </w:tr>
      <w:tr w14:paraId="27B3D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67BE503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0B17B62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销售需快速检索适配增压器、研发需基于数据迭代产品、客服需快速响应适配咨询</w:t>
            </w:r>
          </w:p>
        </w:tc>
      </w:tr>
      <w:tr w14:paraId="3336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 w14:paraId="399E5E9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58" w:type="dxa"/>
            <w:vAlign w:val="center"/>
          </w:tcPr>
          <w:p w14:paraId="0BA0CF1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多部门协同，需求多样</w:t>
            </w:r>
          </w:p>
        </w:tc>
      </w:tr>
    </w:tbl>
    <w:p w14:paraId="3CB89159">
      <w:pPr>
        <w:pStyle w:val="3"/>
        <w:ind w:left="0" w:firstLine="0"/>
        <w:rPr>
          <w:rFonts w:hint="eastAsia"/>
        </w:rPr>
      </w:pPr>
      <w:bookmarkStart w:id="15" w:name="_Toc229660033"/>
      <w:r>
        <w:rPr>
          <w:rFonts w:hint="eastAsia"/>
        </w:rPr>
        <w:t>我司当前产品主数据管理现状</w:t>
      </w:r>
      <w:bookmarkEnd w:id="15"/>
    </w:p>
    <w:p w14:paraId="0FACE172">
      <w:pPr>
        <w:pStyle w:val="64"/>
        <w:rPr>
          <w:rFonts w:hint="eastAsia"/>
        </w:rPr>
      </w:pPr>
      <w:r>
        <w:rPr>
          <w:rFonts w:hint="eastAsia"/>
        </w:rPr>
        <w:t>经内部梳理，我司当前在产品主数据管理方面存在以下具体问题：</w:t>
      </w:r>
    </w:p>
    <w:p w14:paraId="76518B48">
      <w:pPr>
        <w:pStyle w:val="64"/>
        <w:rPr>
          <w:rFonts w:hint="eastAsia"/>
        </w:rPr>
      </w:pP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410"/>
        <w:gridCol w:w="5324"/>
      </w:tblGrid>
      <w:tr w14:paraId="4E0A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" w:hRule="atLeast"/>
        </w:trPr>
        <w:tc>
          <w:tcPr>
            <w:tcW w:w="562" w:type="dxa"/>
            <w:vAlign w:val="center"/>
          </w:tcPr>
          <w:p w14:paraId="31594431">
            <w:pPr>
              <w:pStyle w:val="64"/>
              <w:ind w:firstLine="0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层面</w:t>
            </w:r>
          </w:p>
        </w:tc>
        <w:tc>
          <w:tcPr>
            <w:tcW w:w="2410" w:type="dxa"/>
            <w:vAlign w:val="center"/>
          </w:tcPr>
          <w:p w14:paraId="4899C92B">
            <w:pPr>
              <w:pStyle w:val="64"/>
              <w:ind w:firstLine="0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痛点</w:t>
            </w:r>
          </w:p>
        </w:tc>
        <w:tc>
          <w:tcPr>
            <w:tcW w:w="5324" w:type="dxa"/>
            <w:vAlign w:val="center"/>
          </w:tcPr>
          <w:p w14:paraId="4EC74765">
            <w:pPr>
              <w:pStyle w:val="64"/>
              <w:ind w:firstLine="0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具体表现</w:t>
            </w:r>
          </w:p>
        </w:tc>
      </w:tr>
      <w:tr w14:paraId="18D67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restart"/>
            <w:vAlign w:val="center"/>
          </w:tcPr>
          <w:p w14:paraId="0D7BCAC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业务层面</w:t>
            </w:r>
          </w:p>
        </w:tc>
        <w:tc>
          <w:tcPr>
            <w:tcW w:w="2410" w:type="dxa"/>
            <w:vAlign w:val="center"/>
          </w:tcPr>
          <w:p w14:paraId="611E155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管理逻辑不清晰，功能适配性差</w:t>
            </w:r>
          </w:p>
        </w:tc>
        <w:tc>
          <w:tcPr>
            <w:tcW w:w="5324" w:type="dxa"/>
            <w:vAlign w:val="center"/>
          </w:tcPr>
          <w:p w14:paraId="5A26AD6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自研系统虽已建立“车型-增压器-公司产品”关联，但关联关系不清晰、不完整，检索维度单一</w:t>
            </w:r>
          </w:p>
        </w:tc>
      </w:tr>
      <w:tr w14:paraId="1DE7E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vAlign w:val="center"/>
          </w:tcPr>
          <w:p w14:paraId="7728F11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78B5756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销售端检索效率低下</w:t>
            </w:r>
          </w:p>
        </w:tc>
        <w:tc>
          <w:tcPr>
            <w:tcW w:w="5324" w:type="dxa"/>
            <w:vAlign w:val="center"/>
          </w:tcPr>
          <w:p w14:paraId="6465512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查询结果需人工复核，无法快速精准匹配</w:t>
            </w:r>
          </w:p>
        </w:tc>
      </w:tr>
      <w:tr w14:paraId="4C172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vAlign w:val="center"/>
          </w:tcPr>
          <w:p w14:paraId="64D7854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3B1FE11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拓展功能缺失</w:t>
            </w:r>
          </w:p>
        </w:tc>
        <w:tc>
          <w:tcPr>
            <w:tcW w:w="5324" w:type="dxa"/>
            <w:vAlign w:val="center"/>
          </w:tcPr>
          <w:p w14:paraId="510BC87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无产品手册自动生成功能，人工编制效率低、易出错；无快捷外部数据接入功能，整车厂数据手动录入</w:t>
            </w:r>
          </w:p>
        </w:tc>
      </w:tr>
      <w:tr w14:paraId="75216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vAlign w:val="center"/>
          </w:tcPr>
          <w:p w14:paraId="2FCCB1F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5AD54F3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管理体系混乱</w:t>
            </w:r>
          </w:p>
        </w:tc>
        <w:tc>
          <w:tcPr>
            <w:tcW w:w="5324" w:type="dxa"/>
            <w:vAlign w:val="center"/>
          </w:tcPr>
          <w:p w14:paraId="444DBB9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无统一管理标准，存在数据冗余/重复/不一致问题；销售BOM管理层级混乱，物料构成反映不准确</w:t>
            </w:r>
          </w:p>
        </w:tc>
      </w:tr>
      <w:tr w14:paraId="3224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restart"/>
            <w:vAlign w:val="center"/>
          </w:tcPr>
          <w:p w14:paraId="1E49D87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技术层面</w:t>
            </w:r>
          </w:p>
        </w:tc>
        <w:tc>
          <w:tcPr>
            <w:tcW w:w="2410" w:type="dxa"/>
            <w:vAlign w:val="center"/>
          </w:tcPr>
          <w:p w14:paraId="1201DD5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自研系统支撑能力不足</w:t>
            </w:r>
          </w:p>
        </w:tc>
        <w:tc>
          <w:tcPr>
            <w:tcW w:w="5324" w:type="dxa"/>
            <w:vAlign w:val="center"/>
          </w:tcPr>
          <w:p w14:paraId="6C952E7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自研PDE系统需持续投入人财物进行开发/维护/升级，长期成本居高不下</w:t>
            </w:r>
          </w:p>
        </w:tc>
      </w:tr>
      <w:tr w14:paraId="3DAB3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vAlign w:val="center"/>
          </w:tcPr>
          <w:p w14:paraId="3D3FC78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52D57F2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开发成本高</w:t>
            </w:r>
          </w:p>
        </w:tc>
        <w:tc>
          <w:tcPr>
            <w:tcW w:w="5324" w:type="dxa"/>
            <w:vAlign w:val="center"/>
          </w:tcPr>
          <w:p w14:paraId="637C969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架构设计缺乏灵活性，难以与ERP、MES、CRM等系统无缝对接，易形成新数据孤岛</w:t>
            </w:r>
          </w:p>
        </w:tc>
      </w:tr>
      <w:tr w14:paraId="78FCF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vAlign w:val="center"/>
          </w:tcPr>
          <w:p w14:paraId="6B8C1AE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78F1809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扩展性差，技术支撑不足</w:t>
            </w:r>
          </w:p>
        </w:tc>
        <w:tc>
          <w:tcPr>
            <w:tcW w:w="5324" w:type="dxa"/>
            <w:vAlign w:val="center"/>
          </w:tcPr>
          <w:p w14:paraId="63DEE4D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无专业主数据管理技术支撑，数据备份、安全防护、权限管控不完善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14:paraId="786A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vAlign w:val="center"/>
          </w:tcPr>
          <w:p w14:paraId="1B7CE46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vAlign w:val="center"/>
          </w:tcPr>
          <w:p w14:paraId="21541FE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缺乏过程化管理</w:t>
            </w:r>
          </w:p>
        </w:tc>
        <w:tc>
          <w:tcPr>
            <w:tcW w:w="5324" w:type="dxa"/>
            <w:vAlign w:val="center"/>
          </w:tcPr>
          <w:p w14:paraId="3359003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PDE缺乏过程管理，主要以结果性数据存储，需增强流程化过程管理</w:t>
            </w:r>
          </w:p>
        </w:tc>
      </w:tr>
    </w:tbl>
    <w:p w14:paraId="1A17D9D7">
      <w:pPr>
        <w:rPr>
          <w:rFonts w:hint="eastAsia"/>
        </w:rPr>
      </w:pPr>
    </w:p>
    <w:bookmarkEnd w:id="8"/>
    <w:bookmarkEnd w:id="12"/>
    <w:bookmarkEnd w:id="14"/>
    <w:p w14:paraId="200CDD5B">
      <w:pPr>
        <w:pStyle w:val="2"/>
        <w:rPr>
          <w:rFonts w:hint="eastAsia" w:ascii="宋体" w:hAnsi="宋体" w:eastAsia="宋体"/>
        </w:rPr>
      </w:pPr>
      <w:bookmarkStart w:id="16" w:name="_Toc229660034"/>
      <w:bookmarkStart w:id="17" w:name="_Toc165999751"/>
      <w:r>
        <w:rPr>
          <w:rFonts w:hint="eastAsia"/>
        </w:rPr>
        <w:t>项目目标与初步规划</w:t>
      </w:r>
      <w:bookmarkEnd w:id="16"/>
    </w:p>
    <w:p w14:paraId="2894B424">
      <w:pPr>
        <w:pStyle w:val="3"/>
        <w:ind w:left="0" w:firstLine="0"/>
        <w:rPr>
          <w:rFonts w:hint="eastAsia"/>
        </w:rPr>
      </w:pPr>
      <w:bookmarkStart w:id="18" w:name="_Toc229660035"/>
      <w:r>
        <w:rPr>
          <w:rFonts w:hint="eastAsia"/>
        </w:rPr>
        <w:t>总体目标</w:t>
      </w:r>
      <w:bookmarkEnd w:id="18"/>
    </w:p>
    <w:p w14:paraId="6BCF98E0">
      <w:pPr>
        <w:pStyle w:val="64"/>
        <w:rPr>
          <w:rFonts w:hint="eastAsia"/>
        </w:rPr>
      </w:pPr>
      <w:r>
        <w:rPr>
          <w:rFonts w:hint="eastAsia"/>
        </w:rPr>
        <w:t>我司对本项目的总体期望是：构建主数据管控体系，落实主数据标准化，搭建统一的主数据管理平台，实现增压器及零部件产品主数据管理“业务适配、技术高效、管理规范”，支撑企业售后市场核心竞争力提升。</w:t>
      </w:r>
    </w:p>
    <w:p w14:paraId="1628B460">
      <w:pPr>
        <w:pStyle w:val="4"/>
        <w:rPr>
          <w:rFonts w:hint="eastAsia"/>
        </w:rPr>
      </w:pPr>
      <w:bookmarkStart w:id="19" w:name="_Toc229660036"/>
      <w:r>
        <w:rPr>
          <w:rFonts w:hint="eastAsia"/>
        </w:rPr>
        <w:t>核心目标</w:t>
      </w:r>
      <w:bookmarkEnd w:id="19"/>
    </w:p>
    <w:p w14:paraId="329C890A">
      <w:pPr>
        <w:pStyle w:val="64"/>
        <w:rPr>
          <w:rFonts w:hint="eastAsia"/>
        </w:rPr>
      </w:pPr>
      <w:r>
        <w:rPr>
          <w:rFonts w:hint="eastAsia"/>
        </w:rPr>
        <w:t xml:space="preserve"> “一套体系、一套标准、一个平台”：</w:t>
      </w:r>
    </w:p>
    <w:p w14:paraId="3A420705">
      <w:pPr>
        <w:pStyle w:val="92"/>
        <w:rPr>
          <w:rFonts w:hint="eastAsia"/>
        </w:rPr>
      </w:pPr>
      <w:r>
        <w:rPr>
          <w:rFonts w:hint="eastAsia"/>
        </w:rPr>
        <w:t>一套体系：建立主数据治理组织，明确各方职责，建设主数据标准管理、质量管理、维护管理等一整套流程。</w:t>
      </w:r>
    </w:p>
    <w:p w14:paraId="1214221C">
      <w:pPr>
        <w:pStyle w:val="92"/>
        <w:rPr>
          <w:rFonts w:hint="eastAsia"/>
        </w:rPr>
      </w:pPr>
      <w:r>
        <w:rPr>
          <w:rFonts w:hint="eastAsia"/>
        </w:rPr>
        <w:t>一套标准：制定各业务域主数据标准，确保主数据在使用过程中具有高度的一致性和准确性。</w:t>
      </w:r>
    </w:p>
    <w:p w14:paraId="296D571A">
      <w:pPr>
        <w:pStyle w:val="92"/>
        <w:rPr>
          <w:rFonts w:hint="eastAsia"/>
        </w:rPr>
      </w:pPr>
      <w:r>
        <w:rPr>
          <w:rFonts w:hint="eastAsia"/>
        </w:rPr>
        <w:t>一个平台：有效支持数据标准落地和实现主数据生命周期的集中管控、共享。</w:t>
      </w:r>
    </w:p>
    <w:p w14:paraId="62B34C7F">
      <w:pPr>
        <w:pStyle w:val="64"/>
        <w:rPr>
          <w:rFonts w:hint="eastAsia"/>
        </w:rPr>
      </w:pPr>
      <w:r>
        <w:rPr>
          <w:rFonts w:hint="eastAsia"/>
        </w:rPr>
        <w:t>我司的四条解决思路（供应商方案需逐条回应）：</w:t>
      </w:r>
    </w:p>
    <w:p w14:paraId="138A8BFE">
      <w:pPr>
        <w:pStyle w:val="92"/>
        <w:rPr>
          <w:rFonts w:hint="eastAsia"/>
        </w:rPr>
      </w:pPr>
      <w:r>
        <w:rPr>
          <w:rFonts w:hint="eastAsia"/>
        </w:rPr>
        <w:t>以业务为核心，梳理优化管理体系：以销售、研发的核心需求为导向，重新梳理分类、编码、关联关系及流程；建立“车型-增压器-公司产品”全链路关联</w:t>
      </w:r>
    </w:p>
    <w:p w14:paraId="4529394F">
      <w:pPr>
        <w:pStyle w:val="92"/>
        <w:rPr>
          <w:rFonts w:hint="eastAsia"/>
        </w:rPr>
      </w:pPr>
      <w:r>
        <w:rPr>
          <w:rFonts w:hint="eastAsia"/>
        </w:rPr>
        <w:t>引入成熟平台，替代自研系统：放弃当前的自研PDE系统，引入适配汽车零部件售后市场的成熟产品主数据平台</w:t>
      </w:r>
    </w:p>
    <w:p w14:paraId="598861B7">
      <w:pPr>
        <w:pStyle w:val="92"/>
        <w:rPr>
          <w:rFonts w:hint="eastAsia"/>
        </w:rPr>
      </w:pPr>
      <w:r>
        <w:rPr>
          <w:rFonts w:hint="eastAsia"/>
        </w:rPr>
        <w:t>强化数据协同，打造系统集成平台：以产品主数据平台为核心，实现增压器主数据“一次录入、多方复用”；建立标准化数据流程和系统集成平台，与PLM、ERP、MES、WMS等系统无缝对接</w:t>
      </w:r>
    </w:p>
    <w:p w14:paraId="60199766">
      <w:pPr>
        <w:pStyle w:val="92"/>
        <w:rPr>
          <w:rFonts w:hint="eastAsia"/>
        </w:rPr>
      </w:pPr>
      <w:r>
        <w:rPr>
          <w:rFonts w:hint="eastAsia"/>
        </w:rPr>
        <w:t>建立长效运营机制：组建专门主数据管理团队，建立数据质量考核机制，针对历史数据、外部数据等进行质量清洗；推动产品主数据从“成本项”向“战略资产”转型</w:t>
      </w:r>
    </w:p>
    <w:p w14:paraId="50D20FCD">
      <w:pPr>
        <w:pStyle w:val="92"/>
        <w:numPr>
          <w:ilvl w:val="0"/>
          <w:numId w:val="0"/>
        </w:numPr>
        <w:ind w:left="920" w:hanging="440"/>
        <w:rPr>
          <w:rFonts w:hint="eastAsia"/>
        </w:rPr>
      </w:pPr>
    </w:p>
    <w:p w14:paraId="25B50CF5">
      <w:pPr>
        <w:pStyle w:val="3"/>
        <w:ind w:left="0" w:firstLine="0"/>
        <w:rPr>
          <w:rFonts w:hint="eastAsia"/>
        </w:rPr>
      </w:pPr>
      <w:bookmarkStart w:id="20" w:name="_Toc229660037"/>
      <w:r>
        <w:t>系统间数据分布架构</w:t>
      </w:r>
      <w:r>
        <w:rPr>
          <w:rFonts w:hint="eastAsia"/>
        </w:rPr>
        <w:t>规划</w:t>
      </w:r>
      <w:bookmarkEnd w:id="20"/>
    </w:p>
    <w:p w14:paraId="2DBED28B">
      <w:pPr>
        <w:pStyle w:val="64"/>
        <w:rPr>
          <w:rFonts w:hint="eastAsia"/>
        </w:rPr>
      </w:pPr>
      <w:r>
        <w:rPr>
          <w:rFonts w:hint="eastAsia"/>
        </w:rPr>
        <w:t>我司设计了一份</w:t>
      </w:r>
      <w:r>
        <w:t>各系统在产品主数据管理中的定位与数据分布</w:t>
      </w:r>
      <w:r>
        <w:rPr>
          <w:rFonts w:hint="eastAsia"/>
        </w:rPr>
        <w:t>初稿</w:t>
      </w:r>
      <w:r>
        <w:t>，供应商方案</w:t>
      </w:r>
      <w:r>
        <w:rPr>
          <w:rFonts w:hint="eastAsia"/>
        </w:rPr>
        <w:t>可以</w:t>
      </w:r>
      <w:r>
        <w:t>基于此架构进行详细设计：</w:t>
      </w:r>
    </w:p>
    <w:p w14:paraId="0C9FF98A">
      <w:pPr>
        <w:pStyle w:val="92"/>
        <w:numPr>
          <w:ilvl w:val="0"/>
          <w:numId w:val="0"/>
        </w:numPr>
        <w:rPr>
          <w:rFonts w:hint="eastAsia"/>
        </w:rPr>
      </w:pPr>
      <w:r>
        <w:drawing>
          <wp:inline distT="0" distB="0" distL="0" distR="0">
            <wp:extent cx="5274310" cy="3098800"/>
            <wp:effectExtent l="0" t="0" r="2540" b="6350"/>
            <wp:docPr id="1028970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97067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4CAD8">
      <w:pPr>
        <w:pStyle w:val="4"/>
        <w:rPr>
          <w:rFonts w:hint="eastAsia"/>
        </w:rPr>
      </w:pPr>
      <w:bookmarkStart w:id="21" w:name="_Toc229660038"/>
      <w:r>
        <w:rPr>
          <w:rFonts w:hint="eastAsia"/>
        </w:rPr>
        <w:t>系统数据定位</w:t>
      </w:r>
      <w:bookmarkEnd w:id="21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3342"/>
        <w:gridCol w:w="3906"/>
      </w:tblGrid>
      <w:tr w14:paraId="1CF2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</w:tcPr>
          <w:p w14:paraId="3456A4A6">
            <w:pPr>
              <w:pStyle w:val="64"/>
              <w:ind w:firstLine="0"/>
              <w:jc w:val="center"/>
              <w:rPr>
                <w:rFonts w:hint="eastAsia"/>
              </w:rPr>
            </w:pPr>
            <w:r>
              <w:rPr>
                <w:rFonts w:ascii="Segoe UI" w:hAnsi="Segoe UI" w:cs="Segoe UI"/>
                <w:b/>
                <w:bCs/>
                <w:color w:val="0F1115"/>
                <w:kern w:val="0"/>
                <w14:ligatures w14:val="none"/>
              </w:rPr>
              <w:t>系统</w:t>
            </w:r>
          </w:p>
        </w:tc>
        <w:tc>
          <w:tcPr>
            <w:tcW w:w="3342" w:type="dxa"/>
          </w:tcPr>
          <w:p w14:paraId="7AF74899">
            <w:pPr>
              <w:pStyle w:val="64"/>
              <w:ind w:firstLine="0"/>
              <w:jc w:val="center"/>
              <w:rPr>
                <w:rFonts w:hint="eastAsia"/>
              </w:rPr>
            </w:pPr>
            <w:r>
              <w:rPr>
                <w:rFonts w:ascii="Segoe UI" w:hAnsi="Segoe UI" w:cs="Segoe UI"/>
                <w:b/>
                <w:bCs/>
                <w:color w:val="0F1115"/>
                <w:kern w:val="0"/>
                <w14:ligatures w14:val="none"/>
              </w:rPr>
              <w:t>定位</w:t>
            </w:r>
          </w:p>
        </w:tc>
        <w:tc>
          <w:tcPr>
            <w:tcW w:w="3906" w:type="dxa"/>
          </w:tcPr>
          <w:p w14:paraId="7BA8FCAE">
            <w:pPr>
              <w:pStyle w:val="64"/>
              <w:ind w:firstLine="0"/>
              <w:jc w:val="center"/>
              <w:rPr>
                <w:rFonts w:hint="eastAsia"/>
              </w:rPr>
            </w:pPr>
            <w:r>
              <w:rPr>
                <w:rFonts w:ascii="Segoe UI" w:hAnsi="Segoe UI" w:cs="Segoe UI"/>
                <w:b/>
                <w:bCs/>
                <w:color w:val="0F1115"/>
                <w:kern w:val="0"/>
                <w14:ligatures w14:val="none"/>
              </w:rPr>
              <w:t>承载的核心数据</w:t>
            </w:r>
          </w:p>
        </w:tc>
      </w:tr>
      <w:tr w14:paraId="21FD7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 w14:paraId="227E7B6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产品主数据平台</w:t>
            </w:r>
          </w:p>
        </w:tc>
        <w:tc>
          <w:tcPr>
            <w:tcW w:w="3342" w:type="dxa"/>
            <w:vAlign w:val="center"/>
          </w:tcPr>
          <w:p w14:paraId="69509C7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产品主数据的权威中心与分发枢纽，统一管理产品数据的标准、质量、生命周期与分发</w:t>
            </w:r>
          </w:p>
        </w:tc>
        <w:tc>
          <w:tcPr>
            <w:tcW w:w="3906" w:type="dxa"/>
            <w:vAlign w:val="center"/>
          </w:tcPr>
          <w:p w14:paraId="548F8C1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车表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VOE / TOE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竞品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市场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JR配件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JR配件SBOM（头JR号）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产品分类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销售分类（产品线）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</w:t>
            </w:r>
          </w:p>
        </w:tc>
      </w:tr>
      <w:tr w14:paraId="5A6F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 w14:paraId="14EFDC8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PLM</w:t>
            </w:r>
          </w:p>
        </w:tc>
        <w:tc>
          <w:tcPr>
            <w:tcW w:w="3342" w:type="dxa"/>
            <w:vAlign w:val="center"/>
          </w:tcPr>
          <w:p w14:paraId="50EAF78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产品研发数据系统，负责产品设计与BOM的源头管理</w:t>
            </w:r>
          </w:p>
        </w:tc>
        <w:tc>
          <w:tcPr>
            <w:tcW w:w="3906" w:type="dxa"/>
            <w:vAlign w:val="center"/>
          </w:tcPr>
          <w:p w14:paraId="612819B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EBOM（头三段码）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MBOM（头四段码）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产品SBOM（头三段码）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零部件SBOM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销售产品（四段码）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零部件销售产品（四段码）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研发产品（三段码）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零部件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产品图片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零部件分类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产品参数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图纸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</w:t>
            </w:r>
          </w:p>
        </w:tc>
      </w:tr>
      <w:tr w14:paraId="6B009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8" w:type="dxa"/>
            <w:vAlign w:val="center"/>
          </w:tcPr>
          <w:p w14:paraId="7F2E720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ERP</w:t>
            </w:r>
          </w:p>
        </w:tc>
        <w:tc>
          <w:tcPr>
            <w:tcW w:w="3342" w:type="dxa"/>
            <w:vAlign w:val="center"/>
          </w:tcPr>
          <w:p w14:paraId="33D8F79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产品生产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、质量管理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与财务数据的执行系统</w:t>
            </w:r>
          </w:p>
        </w:tc>
        <w:tc>
          <w:tcPr>
            <w:tcW w:w="3906" w:type="dxa"/>
            <w:vAlign w:val="center"/>
          </w:tcPr>
          <w:p w14:paraId="259F4AA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客户物料编码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</w:t>
            </w:r>
          </w:p>
        </w:tc>
      </w:tr>
      <w:tr w14:paraId="6C4A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14BF10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MES</w:t>
            </w:r>
          </w:p>
        </w:tc>
        <w:tc>
          <w:tcPr>
            <w:tcW w:w="3342" w:type="dxa"/>
            <w:vAlign w:val="center"/>
          </w:tcPr>
          <w:p w14:paraId="296A10E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生产执行系统</w:t>
            </w:r>
          </w:p>
        </w:tc>
        <w:tc>
          <w:tcPr>
            <w:tcW w:w="3906" w:type="dxa"/>
            <w:vMerge w:val="restart"/>
            <w:vAlign w:val="center"/>
          </w:tcPr>
          <w:p w14:paraId="6518323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从产品主数据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获取产品数据</w:t>
            </w:r>
          </w:p>
        </w:tc>
      </w:tr>
      <w:tr w14:paraId="5AEC7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378621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网站群</w:t>
            </w:r>
          </w:p>
        </w:tc>
        <w:tc>
          <w:tcPr>
            <w:tcW w:w="3342" w:type="dxa"/>
            <w:vAlign w:val="center"/>
          </w:tcPr>
          <w:p w14:paraId="0C577D0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 xml:space="preserve">产品对外营销平台 </w:t>
            </w:r>
          </w:p>
        </w:tc>
        <w:tc>
          <w:tcPr>
            <w:tcW w:w="3906" w:type="dxa"/>
            <w:vMerge w:val="continue"/>
            <w:vAlign w:val="center"/>
          </w:tcPr>
          <w:p w14:paraId="1363136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</w:tr>
      <w:tr w14:paraId="359D4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C69EDE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WMS</w:t>
            </w:r>
          </w:p>
        </w:tc>
        <w:tc>
          <w:tcPr>
            <w:tcW w:w="3342" w:type="dxa"/>
            <w:vAlign w:val="center"/>
          </w:tcPr>
          <w:p w14:paraId="46D8317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仓储管理系统</w:t>
            </w:r>
          </w:p>
        </w:tc>
        <w:tc>
          <w:tcPr>
            <w:tcW w:w="3906" w:type="dxa"/>
            <w:vMerge w:val="continue"/>
            <w:vAlign w:val="center"/>
          </w:tcPr>
          <w:p w14:paraId="6EEDD8A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</w:tr>
      <w:tr w14:paraId="4D925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E371D8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CRM</w:t>
            </w:r>
          </w:p>
        </w:tc>
        <w:tc>
          <w:tcPr>
            <w:tcW w:w="3342" w:type="dxa"/>
            <w:vAlign w:val="center"/>
          </w:tcPr>
          <w:p w14:paraId="53754D9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客户关系管理系统</w:t>
            </w:r>
          </w:p>
        </w:tc>
        <w:tc>
          <w:tcPr>
            <w:tcW w:w="3906" w:type="dxa"/>
            <w:vMerge w:val="continue"/>
            <w:vAlign w:val="center"/>
          </w:tcPr>
          <w:p w14:paraId="562E698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21D8C81">
      <w:pPr>
        <w:pStyle w:val="64"/>
        <w:rPr>
          <w:rFonts w:hint="eastAsia"/>
        </w:rPr>
      </w:pPr>
    </w:p>
    <w:p w14:paraId="42A3F280">
      <w:pPr>
        <w:pStyle w:val="4"/>
        <w:rPr>
          <w:rFonts w:hint="eastAsia"/>
        </w:rPr>
      </w:pPr>
      <w:bookmarkStart w:id="22" w:name="_Toc229660039"/>
      <w:r>
        <w:rPr>
          <w:rFonts w:hint="eastAsia"/>
        </w:rPr>
        <w:t>数据交互</w:t>
      </w:r>
      <w:bookmarkEnd w:id="22"/>
    </w:p>
    <w:p w14:paraId="269AF6D7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1.1产品主数据平台→PLM：</w:t>
      </w:r>
      <w:r>
        <w:rPr>
          <w:rFonts w:cs="Times New Roman"/>
          <w:kern w:val="2"/>
          <w:szCs w:val="24"/>
          <w14:ligatures w14:val="standardContextual"/>
        </w:rPr>
        <w:t>JR数据、产品分类</w:t>
      </w:r>
    </w:p>
    <w:p w14:paraId="21FC5486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1.2产品主数据平台→ERP：</w:t>
      </w:r>
      <w:r>
        <w:rPr>
          <w:rFonts w:cs="Times New Roman"/>
          <w:kern w:val="2"/>
          <w:szCs w:val="24"/>
          <w14:ligatures w14:val="standardContextual"/>
        </w:rPr>
        <w:t>产品分类</w:t>
      </w:r>
    </w:p>
    <w:p w14:paraId="684357EB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1.3</w:t>
      </w:r>
      <w:r>
        <w:rPr>
          <w:rFonts w:cs="Times New Roman"/>
          <w:kern w:val="2"/>
          <w:szCs w:val="24"/>
          <w14:ligatures w14:val="standardContextual"/>
        </w:rPr>
        <w:t xml:space="preserve"> </w:t>
      </w:r>
      <w:r>
        <w:rPr>
          <w:rFonts w:hint="eastAsia" w:cs="Times New Roman"/>
          <w:kern w:val="2"/>
          <w:szCs w:val="24"/>
          <w14:ligatures w14:val="standardContextual"/>
        </w:rPr>
        <w:t>产品主数据平台→网站群：</w:t>
      </w:r>
      <w:r>
        <w:rPr>
          <w:rFonts w:cs="Times New Roman"/>
          <w:kern w:val="2"/>
          <w:szCs w:val="24"/>
          <w14:ligatures w14:val="standardContextual"/>
        </w:rPr>
        <w:t>VOE / TOE、销售分类（产品线）、销售产品（JR四段码）、零部件销售产品（JR四段码）、产品图片、产品参数</w:t>
      </w:r>
    </w:p>
    <w:p w14:paraId="7A90B7E5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2.1 PLM →产品主数据平台：</w:t>
      </w:r>
      <w:r>
        <w:rPr>
          <w:rFonts w:cs="Times New Roman"/>
          <w:kern w:val="2"/>
          <w:szCs w:val="24"/>
          <w14:ligatures w14:val="standardContextual"/>
        </w:rPr>
        <w:t>研发产品（三段码）</w:t>
      </w:r>
    </w:p>
    <w:p w14:paraId="1CEBD11E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2.2 PLM →产品主数据平台：</w:t>
      </w:r>
      <w:r>
        <w:rPr>
          <w:rFonts w:cs="Times New Roman"/>
          <w:kern w:val="2"/>
          <w:szCs w:val="24"/>
          <w14:ligatures w14:val="standardContextual"/>
        </w:rPr>
        <w:t>零部件/物料、研发产品（三段码）、零部件分类</w:t>
      </w:r>
    </w:p>
    <w:p w14:paraId="1DC2285E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2.3 PLM →产品主数据平台：</w:t>
      </w:r>
      <w:r>
        <w:rPr>
          <w:rFonts w:cs="Times New Roman"/>
          <w:kern w:val="2"/>
          <w:szCs w:val="24"/>
          <w14:ligatures w14:val="standardContextual"/>
        </w:rPr>
        <w:t>EBOM</w:t>
      </w:r>
    </w:p>
    <w:p w14:paraId="3C936807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2.4 PLM →产品主数据平台：</w:t>
      </w:r>
      <w:r>
        <w:rPr>
          <w:rFonts w:cs="Times New Roman"/>
          <w:kern w:val="2"/>
          <w:szCs w:val="24"/>
          <w14:ligatures w14:val="standardContextual"/>
        </w:rPr>
        <w:t>MBOM、销售产品（四段码）、零部件销售产品、（四段码）、图纸</w:t>
      </w:r>
    </w:p>
    <w:p w14:paraId="7E0AB220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2.5 PLM →产品主数据平台：</w:t>
      </w:r>
      <w:r>
        <w:rPr>
          <w:rFonts w:cs="Times New Roman"/>
          <w:kern w:val="2"/>
          <w:szCs w:val="24"/>
          <w14:ligatures w14:val="standardContextual"/>
        </w:rPr>
        <w:t>产品图片</w:t>
      </w:r>
    </w:p>
    <w:p w14:paraId="7B6070CE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2.6 PLM →产品主数据平台：</w:t>
      </w:r>
      <w:r>
        <w:rPr>
          <w:rFonts w:cs="Times New Roman"/>
          <w:kern w:val="2"/>
          <w:szCs w:val="24"/>
          <w14:ligatures w14:val="standardContextual"/>
        </w:rPr>
        <w:t>产品参数</w:t>
      </w:r>
    </w:p>
    <w:p w14:paraId="3DD4805A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3.1 ERP → MES：</w:t>
      </w:r>
      <w:r>
        <w:rPr>
          <w:rFonts w:cs="Times New Roman"/>
          <w:kern w:val="2"/>
          <w:szCs w:val="24"/>
          <w14:ligatures w14:val="standardContextual"/>
        </w:rPr>
        <w:t>零部件/物料、产品（三段码）、销售产品（四段码）、零部件销售产品（四段码）、客户物料编码、 MBOM</w:t>
      </w:r>
    </w:p>
    <w:p w14:paraId="1C4CDDBB">
      <w:pPr>
        <w:pStyle w:val="92"/>
        <w:rPr>
          <w:rFonts w:hint="eastAsia"/>
        </w:rPr>
      </w:pPr>
      <w:r>
        <w:rPr>
          <w:rFonts w:hint="eastAsia" w:cs="Times New Roman"/>
          <w:kern w:val="2"/>
          <w:szCs w:val="24"/>
          <w14:ligatures w14:val="standardContextual"/>
        </w:rPr>
        <w:t>3.2 ERP →WMS：</w:t>
      </w:r>
      <w:r>
        <w:rPr>
          <w:rFonts w:cs="Times New Roman"/>
          <w:kern w:val="2"/>
          <w:szCs w:val="24"/>
          <w14:ligatures w14:val="standardContextual"/>
        </w:rPr>
        <w:t>零部件/物料、产品（三段码）、销售产品（四段码）、零部件销售产品（四段码）</w:t>
      </w:r>
    </w:p>
    <w:p w14:paraId="4BE30B07">
      <w:pPr>
        <w:pStyle w:val="4"/>
        <w:rPr>
          <w:rFonts w:hint="eastAsia"/>
        </w:rPr>
      </w:pPr>
      <w:bookmarkStart w:id="23" w:name="_Toc229660040"/>
      <w:r>
        <w:rPr>
          <w:rFonts w:hint="eastAsia"/>
        </w:rPr>
        <w:t>产品</w:t>
      </w:r>
      <w:r>
        <w:t>数据流转核心原则</w:t>
      </w:r>
      <w:bookmarkEnd w:id="23"/>
    </w:p>
    <w:p w14:paraId="602AD8F1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hint="eastAsia" w:cs="Times New Roman"/>
          <w:kern w:val="2"/>
          <w:szCs w:val="24"/>
          <w14:ligatures w14:val="standardContextual"/>
        </w:rPr>
        <w:t>产品主数据平台</w:t>
      </w:r>
      <w:r>
        <w:rPr>
          <w:rFonts w:cs="Times New Roman"/>
          <w:kern w:val="2"/>
          <w:szCs w:val="24"/>
          <w14:ligatures w14:val="standardContextual"/>
        </w:rPr>
        <w:t>是产品主数据的唯一权威中心，所有产品数据的标准、清洗、校验、分发统一由</w:t>
      </w:r>
      <w:r>
        <w:rPr>
          <w:rFonts w:hint="eastAsia" w:cs="Times New Roman"/>
          <w:kern w:val="2"/>
          <w:szCs w:val="24"/>
          <w14:ligatures w14:val="standardContextual"/>
        </w:rPr>
        <w:t>产品主数据平台</w:t>
      </w:r>
      <w:r>
        <w:rPr>
          <w:rFonts w:cs="Times New Roman"/>
          <w:kern w:val="2"/>
          <w:szCs w:val="24"/>
          <w14:ligatures w14:val="standardContextual"/>
        </w:rPr>
        <w:t>管控</w:t>
      </w:r>
    </w:p>
    <w:p w14:paraId="66D187BD">
      <w:pPr>
        <w:pStyle w:val="92"/>
        <w:rPr>
          <w:rFonts w:hint="eastAsia" w:cs="Times New Roman"/>
          <w:kern w:val="2"/>
          <w:sz w:val="21"/>
          <w:szCs w:val="21"/>
          <w14:ligatures w14:val="standardContextual"/>
        </w:rPr>
      </w:pPr>
      <w:r>
        <w:rPr>
          <w:rFonts w:cs="Times New Roman"/>
          <w:kern w:val="2"/>
          <w:szCs w:val="24"/>
          <w14:ligatures w14:val="standardContextual"/>
        </w:rPr>
        <w:t>PLM是研发源头数据的生产者，</w:t>
      </w:r>
      <w:r>
        <w:rPr>
          <w:rFonts w:cs="Times New Roman"/>
          <w:kern w:val="2"/>
          <w:sz w:val="21"/>
          <w:szCs w:val="21"/>
          <w14:ligatures w14:val="standardContextual"/>
        </w:rPr>
        <w:t>向</w:t>
      </w:r>
      <w:r>
        <w:rPr>
          <w:rFonts w:hint="eastAsia" w:cs="Times New Roman"/>
          <w:kern w:val="2"/>
          <w:sz w:val="21"/>
          <w:szCs w:val="21"/>
          <w14:ligatures w14:val="standardContextual"/>
        </w:rPr>
        <w:t>产品主数据平台</w:t>
      </w:r>
      <w:r>
        <w:rPr>
          <w:rFonts w:cs="Times New Roman"/>
          <w:kern w:val="2"/>
          <w:sz w:val="21"/>
          <w:szCs w:val="21"/>
          <w14:ligatures w14:val="standardContextual"/>
        </w:rPr>
        <w:t>提供EBOM、MBOM、SBOM、JR配件SBOM、图纸等</w:t>
      </w:r>
    </w:p>
    <w:p w14:paraId="0F5156F9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cs="Times New Roman"/>
          <w:kern w:val="2"/>
          <w:szCs w:val="24"/>
          <w14:ligatures w14:val="standardContextual"/>
        </w:rPr>
        <w:t>ERP、MES、网站群、CRM、WMS是产品数据的消费者，从</w:t>
      </w:r>
      <w:r>
        <w:rPr>
          <w:rFonts w:hint="eastAsia" w:cs="Times New Roman"/>
          <w:kern w:val="2"/>
          <w:szCs w:val="24"/>
          <w14:ligatures w14:val="standardContextual"/>
        </w:rPr>
        <w:t>产品主数据平台</w:t>
      </w:r>
      <w:r>
        <w:rPr>
          <w:rFonts w:cs="Times New Roman"/>
          <w:kern w:val="2"/>
          <w:szCs w:val="24"/>
          <w14:ligatures w14:val="standardContextual"/>
        </w:rPr>
        <w:t>获取所需的标准化数据</w:t>
      </w:r>
    </w:p>
    <w:p w14:paraId="3E8244DB">
      <w:pPr>
        <w:pStyle w:val="92"/>
        <w:rPr>
          <w:rFonts w:hint="eastAsia" w:cs="Times New Roman"/>
          <w:kern w:val="2"/>
          <w:szCs w:val="24"/>
          <w14:ligatures w14:val="standardContextual"/>
        </w:rPr>
      </w:pPr>
      <w:r>
        <w:rPr>
          <w:rFonts w:cs="Times New Roman"/>
          <w:kern w:val="2"/>
          <w:szCs w:val="24"/>
          <w14:ligatures w14:val="standardContextual"/>
        </w:rPr>
        <w:t>形成“研发在PLM，管理在</w:t>
      </w:r>
      <w:r>
        <w:rPr>
          <w:rFonts w:hint="eastAsia" w:cs="Times New Roman"/>
          <w:kern w:val="2"/>
          <w:szCs w:val="24"/>
          <w14:ligatures w14:val="standardContextual"/>
        </w:rPr>
        <w:t>产品主数据平台</w:t>
      </w:r>
      <w:r>
        <w:rPr>
          <w:rFonts w:cs="Times New Roman"/>
          <w:kern w:val="2"/>
          <w:szCs w:val="24"/>
          <w14:ligatures w14:val="standardContextual"/>
        </w:rPr>
        <w:t>，消费在各业务系统”的清晰架构</w:t>
      </w:r>
    </w:p>
    <w:p w14:paraId="4FD008A0">
      <w:pPr>
        <w:pStyle w:val="3"/>
        <w:ind w:left="0" w:firstLine="0"/>
        <w:rPr>
          <w:rFonts w:hint="eastAsia"/>
        </w:rPr>
      </w:pPr>
      <w:bookmarkStart w:id="24" w:name="_Toc229660041"/>
      <w:r>
        <w:rPr>
          <w:rFonts w:hint="eastAsia"/>
        </w:rPr>
        <w:t>产品</w:t>
      </w:r>
      <w:r>
        <w:t>业务</w:t>
      </w:r>
      <w:r>
        <w:rPr>
          <w:rFonts w:hint="eastAsia"/>
        </w:rPr>
        <w:t>流程规划</w:t>
      </w:r>
      <w:bookmarkEnd w:id="24"/>
    </w:p>
    <w:p w14:paraId="3DD2E643">
      <w:pPr>
        <w:pStyle w:val="64"/>
        <w:rPr>
          <w:rFonts w:hint="eastAsia"/>
        </w:rPr>
      </w:pPr>
      <w:r>
        <w:rPr>
          <w:rFonts w:hint="eastAsia"/>
        </w:rPr>
        <w:t>我方规划的产品业务链路为“产品数据维护→客户需求→技术核心→生产交付→客户反馈→产品数据维护”闭环：</w:t>
      </w:r>
    </w:p>
    <w:p w14:paraId="5ED8752D">
      <w:pPr>
        <w:pStyle w:val="92"/>
        <w:rPr>
          <w:rFonts w:hint="eastAsia"/>
        </w:rPr>
      </w:pPr>
      <w:r>
        <w:rPr>
          <w:rFonts w:hint="eastAsia"/>
        </w:rPr>
        <w:t>产品数据维护端：外购数据清洗、匹配我司产品→录入产品数据平台库</w:t>
      </w:r>
    </w:p>
    <w:p w14:paraId="31141B36">
      <w:pPr>
        <w:pStyle w:val="92"/>
        <w:rPr>
          <w:rFonts w:hint="eastAsia"/>
        </w:rPr>
      </w:pPr>
      <w:r>
        <w:rPr>
          <w:rFonts w:hint="eastAsia"/>
        </w:rPr>
        <w:t>客户需求端：客户、营销人员通过车型、汽车OE号、增压器OE号、竞品号等发起询价查询→ 系统需精准匹配、快速检索适配产品→销售BOM与产品BOM需一致性管理，支撑精准报价</w:t>
      </w:r>
    </w:p>
    <w:p w14:paraId="6B64B49D">
      <w:pPr>
        <w:pStyle w:val="92"/>
        <w:rPr>
          <w:rFonts w:hint="eastAsia"/>
        </w:rPr>
      </w:pPr>
      <w:r>
        <w:rPr>
          <w:rFonts w:hint="eastAsia"/>
        </w:rPr>
        <w:t>技术核心端：新品开发，产品数据生成→数据校验→多平台数据同步</w:t>
      </w:r>
    </w:p>
    <w:p w14:paraId="1171EE9D">
      <w:pPr>
        <w:pStyle w:val="92"/>
        <w:rPr>
          <w:rFonts w:hint="eastAsia"/>
        </w:rPr>
      </w:pPr>
      <w:r>
        <w:rPr>
          <w:rFonts w:hint="eastAsia"/>
        </w:rPr>
        <w:t>生产交付端：产品状态PLM→产品主数据平台→ERP实时同步，质检状态、可销数量、状态、单价同步ERP→产品主数据平台同步</w:t>
      </w:r>
    </w:p>
    <w:p w14:paraId="5ADBAF03">
      <w:pPr>
        <w:pStyle w:val="92"/>
        <w:rPr>
          <w:rFonts w:hint="eastAsia"/>
        </w:rPr>
      </w:pPr>
      <w:r>
        <w:rPr>
          <w:rFonts w:hint="eastAsia"/>
        </w:rPr>
        <w:t>客户反馈端：异常、错配等客诉→反检产品主数据关联关系准确性。</w:t>
      </w:r>
    </w:p>
    <w:p w14:paraId="79D1E32D">
      <w:pPr>
        <w:pStyle w:val="2"/>
        <w:rPr>
          <w:rFonts w:hint="eastAsia"/>
        </w:rPr>
      </w:pPr>
      <w:bookmarkStart w:id="25" w:name="_Toc229660042"/>
      <w:r>
        <w:t>系统集成</w:t>
      </w:r>
      <w:bookmarkEnd w:id="25"/>
    </w:p>
    <w:p w14:paraId="04051C14">
      <w:pPr>
        <w:pStyle w:val="64"/>
        <w:rPr>
          <w:rFonts w:hint="eastAsia"/>
        </w:rPr>
      </w:pPr>
      <w:r>
        <w:t>集成平台是本项目与产品主数据管理平台一体建设的核心组成部分。我司现有各业务系统（PLM、ERP、MES、OA、CRM、WMS、网站群）之间存在大量点对点接口，</w:t>
      </w:r>
      <w:r>
        <w:rPr>
          <w:rFonts w:hint="eastAsia"/>
        </w:rPr>
        <w:t>当前还是依靠人工对接</w:t>
      </w:r>
      <w:r>
        <w:t>，维护成本高、数据流向不透明、</w:t>
      </w:r>
      <w:r>
        <w:rPr>
          <w:rFonts w:hint="eastAsia"/>
        </w:rPr>
        <w:t>错误多</w:t>
      </w:r>
      <w:r>
        <w:t>。</w:t>
      </w:r>
    </w:p>
    <w:p w14:paraId="5312DFF0">
      <w:pPr>
        <w:pStyle w:val="64"/>
        <w:rPr>
          <w:rFonts w:hint="eastAsia"/>
        </w:rPr>
      </w:pPr>
      <w:r>
        <w:t>为解决这一问题，本项目将以产品主数据管理平台为核心枢纽，构建</w:t>
      </w:r>
      <w:r>
        <w:rPr>
          <w:rFonts w:hint="eastAsia"/>
          <w:b/>
          <w:bCs/>
        </w:rPr>
        <w:t>系统</w:t>
      </w:r>
      <w:r>
        <w:rPr>
          <w:b/>
          <w:bCs/>
        </w:rPr>
        <w:t>集成平台</w:t>
      </w:r>
      <w:r>
        <w:t>，承担各业务系统间产品数据的统一交换、分发、采集与监控职能。</w:t>
      </w:r>
    </w:p>
    <w:p w14:paraId="1625EEA1">
      <w:pPr>
        <w:pStyle w:val="64"/>
        <w:rPr>
          <w:rFonts w:hint="eastAsia"/>
        </w:rPr>
      </w:pPr>
      <w:r>
        <w:rPr>
          <w:b/>
          <w:bCs/>
        </w:rPr>
        <w:t>核心原则：</w:t>
      </w:r>
    </w:p>
    <w:p w14:paraId="4840544E">
      <w:pPr>
        <w:pStyle w:val="64"/>
        <w:rPr>
          <w:rFonts w:hint="eastAsia"/>
        </w:rPr>
      </w:pPr>
      <w:r>
        <w:rPr>
          <w:b/>
          <w:bCs/>
        </w:rPr>
        <w:t>统一入口</w:t>
      </w:r>
      <w:r>
        <w:t>：所有产品主数据的创建、变更统一归口到产品主数据管理平台平台，各业务系统不再分散维护产品数据</w:t>
      </w:r>
    </w:p>
    <w:p w14:paraId="66EF088E">
      <w:pPr>
        <w:pStyle w:val="64"/>
        <w:rPr>
          <w:rFonts w:hint="eastAsia"/>
        </w:rPr>
      </w:pPr>
      <w:r>
        <w:rPr>
          <w:b/>
          <w:bCs/>
        </w:rPr>
        <w:t>统一分发</w:t>
      </w:r>
      <w:r>
        <w:t>：各业务系统所需产品数据统一由产品主数据管理平台分发，系统间不再直接进行数据交换</w:t>
      </w:r>
    </w:p>
    <w:p w14:paraId="7B280FB7">
      <w:pPr>
        <w:pStyle w:val="64"/>
        <w:rPr>
          <w:rFonts w:hint="eastAsia"/>
        </w:rPr>
      </w:pPr>
      <w:r>
        <w:rPr>
          <w:b/>
          <w:bCs/>
        </w:rPr>
        <w:t>统一标准</w:t>
      </w:r>
      <w:r>
        <w:t>：制定统一的集成技术规范，各系统遵照执行，消除接口标准不统一的问题</w:t>
      </w:r>
    </w:p>
    <w:p w14:paraId="4AEFE168">
      <w:pPr>
        <w:pStyle w:val="64"/>
        <w:rPr>
          <w:rFonts w:hint="eastAsia"/>
        </w:rPr>
      </w:pPr>
      <w:r>
        <w:rPr>
          <w:b/>
          <w:bCs/>
        </w:rPr>
        <w:t>全程可视</w:t>
      </w:r>
      <w:r>
        <w:t>：所有数据流转过程可监控、可追溯、可预警，结束数据“黑盒”状态</w:t>
      </w:r>
    </w:p>
    <w:p w14:paraId="6FA72B6B">
      <w:pPr>
        <w:rPr>
          <w:rStyle w:val="36"/>
          <w:rFonts w:hint="eastAsia"/>
          <w:b w:val="0"/>
          <w:bCs w:val="0"/>
        </w:rPr>
      </w:pPr>
    </w:p>
    <w:p w14:paraId="7B39A380">
      <w:pPr>
        <w:pStyle w:val="3"/>
        <w:ind w:left="0" w:firstLine="0"/>
        <w:rPr>
          <w:rFonts w:hint="eastAsia"/>
        </w:rPr>
      </w:pPr>
      <w:bookmarkStart w:id="26" w:name="_Toc229660043"/>
      <w:r>
        <w:t>接口配置化能力</w:t>
      </w:r>
      <w:bookmarkEnd w:id="26"/>
    </w:p>
    <w:p w14:paraId="6D425A9C">
      <w:pPr>
        <w:pStyle w:val="64"/>
        <w:rPr>
          <w:rFonts w:hint="eastAsia"/>
        </w:rPr>
      </w:pPr>
      <w:r>
        <w:t>集成平台需提供基于页面的配置化接口管理功能，支持通过可视化界面完成系统间接口的创建、调整与维护，无需编码或仅需少量编码。平台应能引导用户完成接口协议的转换、数据字段的映射对应、以及数据路由规则的配置，降低集成开发门槛。</w:t>
      </w:r>
    </w:p>
    <w:p w14:paraId="259B0F48">
      <w:pPr>
        <w:pStyle w:val="3"/>
        <w:ind w:left="0" w:firstLine="0"/>
        <w:rPr>
          <w:rFonts w:hint="eastAsia"/>
        </w:rPr>
      </w:pPr>
      <w:bookmarkStart w:id="27" w:name="_Toc229660044"/>
      <w:r>
        <w:t>集成监控与运维</w:t>
      </w:r>
      <w:bookmarkEnd w:id="27"/>
    </w:p>
    <w:p w14:paraId="48A5F354">
      <w:pPr>
        <w:pStyle w:val="64"/>
        <w:rPr>
          <w:rFonts w:hint="eastAsia"/>
        </w:rPr>
      </w:pPr>
      <w:r>
        <w:t>数据流向可视化</w:t>
      </w:r>
      <w:r>
        <w:rPr>
          <w:rFonts w:hint="eastAsia"/>
        </w:rPr>
        <w:t>，</w:t>
      </w:r>
      <w:r>
        <w:t>集成平台需提供图形化界面，直观展示各系统间的数据流转关系。通过拓扑图或链路图形式，展示数据从源头系统（如PLM）到产品主数据管理平台，再从产品主数据管理平台分发到各消费系统（如ERP、官网、CRM）的完整链路，使运维人员能够快速理解数据集成全貌。</w:t>
      </w:r>
    </w:p>
    <w:p w14:paraId="2174C3DF">
      <w:pPr>
        <w:pStyle w:val="4"/>
        <w:rPr>
          <w:rFonts w:hint="eastAsia"/>
        </w:rPr>
      </w:pPr>
      <w:bookmarkStart w:id="28" w:name="_Toc229660045"/>
      <w:r>
        <w:t>分发状态监控</w:t>
      </w:r>
      <w:bookmarkEnd w:id="28"/>
    </w:p>
    <w:p w14:paraId="178AFA23">
      <w:pPr>
        <w:pStyle w:val="64"/>
        <w:rPr>
          <w:rFonts w:hint="eastAsia"/>
        </w:rPr>
      </w:pPr>
      <w:r>
        <w:t>集成平台需实时展示每次数据分发的状态，包括：</w:t>
      </w:r>
    </w:p>
    <w:p w14:paraId="49AAC610">
      <w:pPr>
        <w:pStyle w:val="92"/>
        <w:rPr>
          <w:rFonts w:hint="eastAsia"/>
        </w:rPr>
      </w:pPr>
      <w:r>
        <w:t>分发时间、目标系统、数据类型、分发数量</w:t>
      </w:r>
    </w:p>
    <w:p w14:paraId="377D3A3E">
      <w:pPr>
        <w:pStyle w:val="92"/>
        <w:rPr>
          <w:rFonts w:hint="eastAsia"/>
        </w:rPr>
      </w:pPr>
      <w:r>
        <w:t>分发状态（成功/失败/进行中）</w:t>
      </w:r>
    </w:p>
    <w:p w14:paraId="5A301B9D">
      <w:pPr>
        <w:pStyle w:val="92"/>
        <w:rPr>
          <w:rFonts w:hint="eastAsia"/>
        </w:rPr>
      </w:pPr>
      <w:r>
        <w:t>失败记录的错误原因和详细信息</w:t>
      </w:r>
    </w:p>
    <w:p w14:paraId="02A02DA1">
      <w:pPr>
        <w:pStyle w:val="92"/>
        <w:rPr>
          <w:rFonts w:hint="eastAsia"/>
        </w:rPr>
      </w:pPr>
      <w:r>
        <w:t>支持按目标系统、数据类型、时间段等条件筛选，便于快速定位问题。</w:t>
      </w:r>
    </w:p>
    <w:p w14:paraId="560339ED">
      <w:pPr>
        <w:pStyle w:val="4"/>
        <w:rPr>
          <w:rFonts w:hint="eastAsia"/>
        </w:rPr>
      </w:pPr>
      <w:bookmarkStart w:id="29" w:name="_Toc229660046"/>
      <w:r>
        <w:t>异常预警与通知</w:t>
      </w:r>
      <w:bookmarkEnd w:id="29"/>
    </w:p>
    <w:p w14:paraId="54D21B08">
      <w:pPr>
        <w:pStyle w:val="64"/>
        <w:rPr>
          <w:rFonts w:hint="eastAsia"/>
        </w:rPr>
      </w:pPr>
      <w:r>
        <w:t>当数据分发出现异常时（如连续失败、接口超时、目标系统无响应），集成平台需自动触发预警机制：</w:t>
      </w:r>
    </w:p>
    <w:p w14:paraId="1B63DBE6">
      <w:pPr>
        <w:pStyle w:val="92"/>
        <w:rPr>
          <w:rFonts w:hint="eastAsia"/>
        </w:rPr>
      </w:pPr>
      <w:r>
        <w:t>站内通知：在产品主数据管理平台首页待办或预警区域显示异常信息</w:t>
      </w:r>
    </w:p>
    <w:p w14:paraId="60F7BFCC">
      <w:pPr>
        <w:pStyle w:val="92"/>
        <w:rPr>
          <w:rFonts w:hint="eastAsia"/>
        </w:rPr>
      </w:pPr>
      <w:r>
        <w:t>消息推送：通过</w:t>
      </w:r>
      <w:r>
        <w:rPr>
          <w:rFonts w:hint="eastAsia"/>
        </w:rPr>
        <w:t>飞书</w:t>
      </w:r>
      <w:r>
        <w:t>等移动端推送预警消息</w:t>
      </w:r>
    </w:p>
    <w:p w14:paraId="1B85EC9F">
      <w:pPr>
        <w:pStyle w:val="92"/>
        <w:rPr>
          <w:rFonts w:hint="eastAsia"/>
        </w:rPr>
      </w:pPr>
      <w:r>
        <w:t>邮件通知：向指定管理员发送</w:t>
      </w:r>
      <w:r>
        <w:rPr>
          <w:rFonts w:hint="eastAsia"/>
        </w:rPr>
        <w:t>飞书信息、</w:t>
      </w:r>
      <w:r>
        <w:t>邮件</w:t>
      </w:r>
    </w:p>
    <w:p w14:paraId="7BD35EBC">
      <w:pPr>
        <w:pStyle w:val="64"/>
        <w:rPr>
          <w:rFonts w:hint="eastAsia"/>
        </w:rPr>
      </w:pPr>
      <w:r>
        <w:t>预警规则需支持自定义配置，如设置失败重试次数阈值、设定特定时间段的告警静默等。</w:t>
      </w:r>
    </w:p>
    <w:p w14:paraId="76E63D5E">
      <w:pPr>
        <w:pStyle w:val="4"/>
        <w:rPr>
          <w:rFonts w:hint="eastAsia"/>
        </w:rPr>
      </w:pPr>
      <w:bookmarkStart w:id="30" w:name="_Toc229660047"/>
      <w:r>
        <w:t>失败重发机制</w:t>
      </w:r>
      <w:bookmarkEnd w:id="30"/>
    </w:p>
    <w:p w14:paraId="79CD2EB7">
      <w:pPr>
        <w:pStyle w:val="64"/>
        <w:rPr>
          <w:rFonts w:hint="eastAsia"/>
        </w:rPr>
      </w:pPr>
      <w:r>
        <w:t>集成平台需提供自动和手动两种失败重发机制：</w:t>
      </w:r>
    </w:p>
    <w:p w14:paraId="4F860E27">
      <w:pPr>
        <w:pStyle w:val="92"/>
        <w:rPr>
          <w:rFonts w:hint="eastAsia"/>
        </w:rPr>
      </w:pPr>
      <w:r>
        <w:t>自动重发：在分发失败后，按预设次数和间隔自动重试（如每隔5分钟重试一次，最多重试3次）</w:t>
      </w:r>
    </w:p>
    <w:p w14:paraId="64D9C8C1">
      <w:pPr>
        <w:pStyle w:val="92"/>
        <w:rPr>
          <w:rFonts w:hint="eastAsia"/>
        </w:rPr>
      </w:pPr>
      <w:r>
        <w:t>手动重发：管理人员通过监控界面手动触发重新分发，支持单条和批量操作</w:t>
      </w:r>
    </w:p>
    <w:p w14:paraId="11F7851C">
      <w:pPr>
        <w:pStyle w:val="4"/>
        <w:rPr>
          <w:rFonts w:hint="eastAsia"/>
        </w:rPr>
      </w:pPr>
      <w:r>
        <w:t xml:space="preserve"> </w:t>
      </w:r>
      <w:bookmarkStart w:id="31" w:name="_Toc229660048"/>
      <w:r>
        <w:t>集成日志管理</w:t>
      </w:r>
      <w:bookmarkEnd w:id="31"/>
    </w:p>
    <w:p w14:paraId="5FBA3359">
      <w:pPr>
        <w:pStyle w:val="64"/>
        <w:rPr>
          <w:rFonts w:hint="eastAsia"/>
        </w:rPr>
      </w:pPr>
      <w:r>
        <w:t>集成平台需记录所有集成活动的详细日志，包括：</w:t>
      </w:r>
    </w:p>
    <w:p w14:paraId="0550D5AC">
      <w:pPr>
        <w:pStyle w:val="92"/>
        <w:rPr>
          <w:rFonts w:hint="eastAsia"/>
        </w:rPr>
      </w:pPr>
      <w:r>
        <w:t>接口调用日志：每次接口调用的时间、来源、目标、请求参数、响应结果</w:t>
      </w:r>
    </w:p>
    <w:p w14:paraId="0921D006">
      <w:pPr>
        <w:pStyle w:val="92"/>
        <w:rPr>
          <w:rFonts w:hint="eastAsia"/>
        </w:rPr>
      </w:pPr>
      <w:r>
        <w:t>数据分发日志：每次数据分发的内容摘要、目标系统、分发结果</w:t>
      </w:r>
    </w:p>
    <w:p w14:paraId="713633EB">
      <w:pPr>
        <w:pStyle w:val="92"/>
        <w:rPr>
          <w:rFonts w:hint="eastAsia"/>
        </w:rPr>
      </w:pPr>
      <w:r>
        <w:t>数据采集日志：每次数据采集的来源、数据量、采集结果</w:t>
      </w:r>
    </w:p>
    <w:p w14:paraId="4772B1FC">
      <w:pPr>
        <w:pStyle w:val="92"/>
        <w:rPr>
          <w:rFonts w:hint="eastAsia"/>
        </w:rPr>
      </w:pPr>
      <w:r>
        <w:t>异常日志：所有异常事件的详细信息</w:t>
      </w:r>
    </w:p>
    <w:p w14:paraId="1622F4E1">
      <w:pPr>
        <w:pStyle w:val="64"/>
        <w:rPr>
          <w:rFonts w:hint="eastAsia"/>
        </w:rPr>
      </w:pPr>
      <w:bookmarkStart w:id="49" w:name="_GoBack"/>
      <w:r>
        <w:t>日志需支持按时间、系统、数据类型等多维度查询，支持日志导出。日志</w:t>
      </w:r>
      <w:bookmarkEnd w:id="49"/>
      <w:r>
        <w:t>数据需设置合理的保留周期，过期后自动归档。</w:t>
      </w:r>
    </w:p>
    <w:p w14:paraId="56191788">
      <w:pPr>
        <w:pStyle w:val="4"/>
        <w:rPr>
          <w:rFonts w:hint="eastAsia"/>
        </w:rPr>
      </w:pPr>
      <w:bookmarkStart w:id="32" w:name="_Toc229660049"/>
      <w:r>
        <w:t>集成健康度看板</w:t>
      </w:r>
      <w:bookmarkEnd w:id="32"/>
    </w:p>
    <w:p w14:paraId="1BA8944D">
      <w:pPr>
        <w:pStyle w:val="64"/>
        <w:rPr>
          <w:rFonts w:hint="eastAsia"/>
        </w:rPr>
      </w:pPr>
      <w:r>
        <w:t>集成平台需提供集成健康度看板，以仪表盘形式展示集成平台的整体运行状态，包括：</w:t>
      </w:r>
    </w:p>
    <w:p w14:paraId="2D4E03EC">
      <w:pPr>
        <w:pStyle w:val="92"/>
        <w:rPr>
          <w:rFonts w:hint="eastAsia"/>
        </w:rPr>
      </w:pPr>
      <w:r>
        <w:t>当日/本周/本月的分发总量、成功率、失败率</w:t>
      </w:r>
    </w:p>
    <w:p w14:paraId="24F9462F">
      <w:pPr>
        <w:pStyle w:val="92"/>
        <w:rPr>
          <w:rFonts w:hint="eastAsia"/>
        </w:rPr>
      </w:pPr>
      <w:r>
        <w:t>各目标系统的接口可用率</w:t>
      </w:r>
    </w:p>
    <w:p w14:paraId="0A063D90">
      <w:pPr>
        <w:pStyle w:val="92"/>
        <w:rPr>
          <w:rFonts w:hint="eastAsia"/>
        </w:rPr>
      </w:pPr>
      <w:r>
        <w:t>异常事件数量及趋势</w:t>
      </w:r>
    </w:p>
    <w:p w14:paraId="2C74718A">
      <w:pPr>
        <w:pStyle w:val="92"/>
        <w:rPr>
          <w:rFonts w:hint="eastAsia"/>
        </w:rPr>
      </w:pPr>
      <w:r>
        <w:t>数据延迟情况（从源头变更到分发完成的耗时）</w:t>
      </w:r>
    </w:p>
    <w:bookmarkEnd w:id="17"/>
    <w:p w14:paraId="0A3485C4">
      <w:pPr>
        <w:pStyle w:val="2"/>
        <w:rPr>
          <w:rFonts w:hint="eastAsia"/>
        </w:rPr>
      </w:pPr>
      <w:bookmarkStart w:id="33" w:name="_Toc229660050"/>
      <w:r>
        <w:t>核心需求清单</w:t>
      </w:r>
      <w:bookmarkEnd w:id="33"/>
    </w:p>
    <w:p w14:paraId="1BFC6062">
      <w:pPr>
        <w:rPr>
          <w:rFonts w:hint="eastAsia"/>
        </w:rPr>
      </w:pPr>
      <w:r>
        <w:t>以下需求清单是本项目的核心内容，</w:t>
      </w:r>
      <w:r>
        <w:rPr>
          <w:rFonts w:hint="eastAsia"/>
        </w:rPr>
        <w:t>希望</w:t>
      </w:r>
      <w:r>
        <w:t>供应商方案逐项响应。</w:t>
      </w:r>
    </w:p>
    <w:p w14:paraId="16AF8E72">
      <w:pPr>
        <w:pStyle w:val="3"/>
        <w:ind w:left="0" w:firstLine="0"/>
        <w:rPr>
          <w:rFonts w:hint="eastAsia"/>
        </w:rPr>
      </w:pPr>
      <w:bookmarkStart w:id="34" w:name="_Toc229660051"/>
      <w:r>
        <w:t>产品数据模型与标准</w:t>
      </w:r>
      <w:bookmarkEnd w:id="34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 w14:paraId="7E97A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54E134D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458" w:type="dxa"/>
          </w:tcPr>
          <w:p w14:paraId="4F475514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56BB1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BE8853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外部数据管理</w:t>
            </w:r>
          </w:p>
        </w:tc>
        <w:tc>
          <w:tcPr>
            <w:tcW w:w="6458" w:type="dxa"/>
          </w:tcPr>
          <w:p w14:paraId="424B1D9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支持汽车OE号(VOE)、增压器/零件OE号(TOE)、竞品号、CBOM的管理，支持从整车厂、第三方平台持续导入更新</w:t>
            </w:r>
          </w:p>
        </w:tc>
      </w:tr>
      <w:tr w14:paraId="4B84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1F3998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内部产品数据管理</w:t>
            </w:r>
          </w:p>
        </w:tc>
        <w:tc>
          <w:tcPr>
            <w:tcW w:w="6458" w:type="dxa"/>
          </w:tcPr>
          <w:p w14:paraId="5955CC1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支持JR配件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号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、销售BOM头、三段码、四段码、MBOM头、整机三段码、零件三段码、产品EBOM头、零件BOM头的管理</w:t>
            </w:r>
          </w:p>
        </w:tc>
      </w:tr>
      <w:tr w14:paraId="38FE6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3DD3D15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层级关联关系</w:t>
            </w:r>
          </w:p>
        </w:tc>
        <w:tc>
          <w:tcPr>
            <w:tcW w:w="6458" w:type="dxa"/>
          </w:tcPr>
          <w:p w14:paraId="021349A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支持以下固定关联关系：JR配件(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:1)销售BOM头(N: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N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)三段码(N:1)四段码(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:1)MBOM头；整机三段码(1:1)产品EBOM头；零件三段码(1:1)零件BOM头</w:t>
            </w:r>
          </w:p>
        </w:tc>
      </w:tr>
      <w:tr w14:paraId="42D20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295A37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三段/四段码对照</w:t>
            </w:r>
          </w:p>
        </w:tc>
        <w:tc>
          <w:tcPr>
            <w:tcW w:w="6458" w:type="dxa"/>
          </w:tcPr>
          <w:p w14:paraId="11AD5CE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维护三段式与四段式编码对照关系，确保映射准确</w:t>
            </w:r>
          </w:p>
        </w:tc>
      </w:tr>
      <w:tr w14:paraId="2AC3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E1A819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产品分类体系</w:t>
            </w:r>
          </w:p>
        </w:tc>
        <w:tc>
          <w:tcPr>
            <w:tcW w:w="6458" w:type="dxa"/>
          </w:tcPr>
          <w:p w14:paraId="29EAAB8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支持产品分类、零部件分类、销售分类（产品线）的多维度分类管理，参照行业标准</w:t>
            </w:r>
          </w:p>
        </w:tc>
      </w:tr>
      <w:tr w14:paraId="1A3BE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F28AD4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编码规则引擎</w:t>
            </w:r>
          </w:p>
        </w:tc>
        <w:tc>
          <w:tcPr>
            <w:tcW w:w="6458" w:type="dxa"/>
          </w:tcPr>
          <w:p w14:paraId="468C94F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支持多种编码规则（手工码、顺序码、特征组合码），支持可变码长/码段设定，支持编码唯一值自定义校验</w:t>
            </w:r>
          </w:p>
        </w:tc>
      </w:tr>
      <w:tr w14:paraId="0FBE2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7B0511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图号与料号分离</w:t>
            </w:r>
          </w:p>
        </w:tc>
        <w:tc>
          <w:tcPr>
            <w:tcW w:w="6458" w:type="dxa"/>
          </w:tcPr>
          <w:p w14:paraId="1224257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支持业务中图号（技术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图纸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标识）与料号（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物料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管理标识）分开管理</w:t>
            </w:r>
          </w:p>
        </w:tc>
      </w:tr>
    </w:tbl>
    <w:p w14:paraId="0D5C9325">
      <w:pPr>
        <w:rPr>
          <w:rFonts w:hint="eastAsia"/>
        </w:rPr>
      </w:pPr>
    </w:p>
    <w:p w14:paraId="33859E93">
      <w:pPr>
        <w:pStyle w:val="3"/>
        <w:ind w:left="0" w:firstLine="0"/>
        <w:rPr>
          <w:rFonts w:hint="eastAsia"/>
        </w:rPr>
      </w:pPr>
      <w:bookmarkStart w:id="35" w:name="_Toc229660052"/>
      <w:r>
        <w:t>车表与适配管理</w:t>
      </w:r>
      <w:bookmarkEnd w:id="35"/>
    </w:p>
    <w:tbl>
      <w:tblPr>
        <w:tblStyle w:val="34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521"/>
      </w:tblGrid>
      <w:tr w14:paraId="42E3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82146B8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521" w:type="dxa"/>
          </w:tcPr>
          <w:p w14:paraId="1FA2C81A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23D49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77FDE6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车型数据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管理</w:t>
            </w:r>
          </w:p>
        </w:tc>
        <w:tc>
          <w:tcPr>
            <w:tcW w:w="6521" w:type="dxa"/>
          </w:tcPr>
          <w:p w14:paraId="6F8386B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支持“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车型数据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→增压器型号→我司产品”全链路适配关系管理</w:t>
            </w:r>
          </w:p>
        </w:tc>
      </w:tr>
      <w:tr w14:paraId="495F0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E9A1C4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欧洲车型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</w:t>
            </w:r>
          </w:p>
        </w:tc>
        <w:tc>
          <w:tcPr>
            <w:tcW w:w="6521" w:type="dxa"/>
          </w:tcPr>
          <w:p w14:paraId="693C4CE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重点完善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欧洲车型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适配数据，建立适配风险定期检查机制</w:t>
            </w:r>
          </w:p>
        </w:tc>
      </w:tr>
      <w:tr w14:paraId="2B932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D1EA6D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北美车型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</w:t>
            </w:r>
          </w:p>
        </w:tc>
        <w:tc>
          <w:tcPr>
            <w:tcW w:w="6521" w:type="dxa"/>
          </w:tcPr>
          <w:p w14:paraId="7BF2C59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重点完善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北美车型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适配数据，建立适配风险定期检查机制</w:t>
            </w:r>
          </w:p>
        </w:tc>
      </w:tr>
      <w:tr w14:paraId="6B27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46B2754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中国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车型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</w:t>
            </w:r>
          </w:p>
        </w:tc>
        <w:tc>
          <w:tcPr>
            <w:tcW w:w="6521" w:type="dxa"/>
          </w:tcPr>
          <w:p w14:paraId="4749895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重点完善中国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车型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适配数据，建立适配风险定期检查机制</w:t>
            </w:r>
          </w:p>
        </w:tc>
      </w:tr>
      <w:tr w14:paraId="692BC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053BD2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VOE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TOE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、竞品号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关联</w:t>
            </w:r>
          </w:p>
        </w:tc>
        <w:tc>
          <w:tcPr>
            <w:tcW w:w="6521" w:type="dxa"/>
          </w:tcPr>
          <w:p w14:paraId="578D776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自动提示OE号与配件、配件与产品的关联关系，支持旁通号自动关联补充</w:t>
            </w:r>
          </w:p>
        </w:tc>
      </w:tr>
      <w:tr w14:paraId="700E3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4ED3844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适配关系检查</w:t>
            </w:r>
          </w:p>
        </w:tc>
        <w:tc>
          <w:tcPr>
            <w:tcW w:w="6521" w:type="dxa"/>
          </w:tcPr>
          <w:p w14:paraId="23863E3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当车型OE或增压器OE全部停用时，自动检查关联产品状态并预警</w:t>
            </w:r>
          </w:p>
        </w:tc>
      </w:tr>
    </w:tbl>
    <w:p w14:paraId="6D769E12">
      <w:pPr>
        <w:rPr>
          <w:rFonts w:hint="eastAsia"/>
        </w:rPr>
      </w:pPr>
    </w:p>
    <w:p w14:paraId="7A9B18BD">
      <w:pPr>
        <w:pStyle w:val="3"/>
        <w:ind w:left="0" w:firstLine="0"/>
        <w:rPr>
          <w:rFonts w:hint="eastAsia"/>
        </w:rPr>
      </w:pPr>
      <w:bookmarkStart w:id="36" w:name="_Toc229660053"/>
      <w:r>
        <w:t>数据查询与检索</w:t>
      </w:r>
      <w:bookmarkEnd w:id="36"/>
    </w:p>
    <w:tbl>
      <w:tblPr>
        <w:tblStyle w:val="34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521"/>
      </w:tblGrid>
      <w:tr w14:paraId="216C7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B1102C6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521" w:type="dxa"/>
          </w:tcPr>
          <w:p w14:paraId="46A42000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3ACF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83AADE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多维度查询</w:t>
            </w:r>
          </w:p>
        </w:tc>
        <w:tc>
          <w:tcPr>
            <w:tcW w:w="6521" w:type="dxa"/>
          </w:tcPr>
          <w:p w14:paraId="5E2E8C7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支持按增压器OE号、车型OE号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、竞品号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、整机三段码、零件三段码、产品特性、品类等综合查询</w:t>
            </w:r>
          </w:p>
        </w:tc>
      </w:tr>
      <w:tr w14:paraId="72A0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5C6DA0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结果展示</w:t>
            </w:r>
          </w:p>
        </w:tc>
        <w:tc>
          <w:tcPr>
            <w:tcW w:w="6521" w:type="dxa"/>
          </w:tcPr>
          <w:p w14:paraId="48A810F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结果显示JR号、配件图片、基本信息、产品参数（增压器、执行机构、冷却方式等）；支持整机/机芯通过JR号快速复核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；支持自定义查询界面</w:t>
            </w:r>
          </w:p>
        </w:tc>
      </w:tr>
      <w:tr w14:paraId="0178E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DC57D0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批量查询与导出</w:t>
            </w:r>
          </w:p>
        </w:tc>
        <w:tc>
          <w:tcPr>
            <w:tcW w:w="6521" w:type="dxa"/>
          </w:tcPr>
          <w:p w14:paraId="3C5AC65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支持Excel导入批量查询条件，结果支持批量导出；结果格式与国家目录、询价单、报价单统一</w:t>
            </w:r>
          </w:p>
        </w:tc>
      </w:tr>
      <w:tr w14:paraId="26F7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63F153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批量导入校验</w:t>
            </w:r>
          </w:p>
        </w:tc>
        <w:tc>
          <w:tcPr>
            <w:tcW w:w="6521" w:type="dxa"/>
          </w:tcPr>
          <w:p w14:paraId="0D1CDA8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批量导入数据时精确定位报错行/字段并说明原因，支持在线快速修正</w:t>
            </w:r>
          </w:p>
        </w:tc>
      </w:tr>
      <w:tr w14:paraId="6656A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1EFAE5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精准查询</w:t>
            </w:r>
          </w:p>
        </w:tc>
        <w:tc>
          <w:tcPr>
            <w:tcW w:w="6521" w:type="dxa"/>
          </w:tcPr>
          <w:p w14:paraId="62FEDC4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关闭不必要的模糊查询，提供精准查询能力，减少一对多复核</w:t>
            </w:r>
          </w:p>
        </w:tc>
      </w:tr>
      <w:tr w14:paraId="05FAF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2696121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查询留痕复用</w:t>
            </w:r>
          </w:p>
        </w:tc>
        <w:tc>
          <w:tcPr>
            <w:tcW w:w="6521" w:type="dxa"/>
          </w:tcPr>
          <w:p w14:paraId="6641D0F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自动记录查询操作，支持按角色/时间/内容生成报表；下次登录提示历史查询结果支持快速复用</w:t>
            </w:r>
          </w:p>
        </w:tc>
      </w:tr>
      <w:tr w14:paraId="69911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8C8142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自下而上查询</w:t>
            </w:r>
          </w:p>
        </w:tc>
        <w:tc>
          <w:tcPr>
            <w:tcW w:w="6521" w:type="dxa"/>
          </w:tcPr>
          <w:p w14:paraId="7EBB113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支持技术中心从零部件向上追溯到整机、车型的查询能力</w:t>
            </w:r>
          </w:p>
        </w:tc>
      </w:tr>
    </w:tbl>
    <w:tbl>
      <w:tblPr>
        <w:tblStyle w:val="33"/>
        <w:tblW w:w="246" w:type="dxa"/>
        <w:tblInd w:w="0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"/>
      </w:tblGrid>
      <w:tr w14:paraId="267C97D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A7B94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</w:p>
        </w:tc>
      </w:tr>
      <w:tr w14:paraId="041C77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FFFFFF"/>
            <w:vAlign w:val="center"/>
          </w:tcPr>
          <w:p w14:paraId="14D9D71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31B78CF">
      <w:pPr>
        <w:rPr>
          <w:rFonts w:hint="eastAsia"/>
        </w:rPr>
      </w:pPr>
    </w:p>
    <w:p w14:paraId="5FF6711E">
      <w:pPr>
        <w:pStyle w:val="3"/>
        <w:ind w:left="0" w:firstLine="0"/>
        <w:rPr>
          <w:rFonts w:hint="eastAsia"/>
        </w:rPr>
      </w:pPr>
      <w:bookmarkStart w:id="37" w:name="_Toc229660054"/>
      <w:r>
        <w:t>数据校验与质量管理</w:t>
      </w:r>
      <w:bookmarkEnd w:id="37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 w14:paraId="53AE9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C5E7686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458" w:type="dxa"/>
          </w:tcPr>
          <w:p w14:paraId="1EF5B85E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2067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D0E0DB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自定义校验规则</w:t>
            </w:r>
          </w:p>
        </w:tc>
        <w:tc>
          <w:tcPr>
            <w:tcW w:w="6458" w:type="dxa"/>
          </w:tcPr>
          <w:p w14:paraId="4F30DBA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支持自定义产品数据标准规则，系统自动校验数据合规性并输出检查报告、推送异常提醒</w:t>
            </w:r>
          </w:p>
        </w:tc>
      </w:tr>
      <w:tr w14:paraId="718A9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3D108A2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智能查重</w:t>
            </w:r>
          </w:p>
        </w:tc>
        <w:tc>
          <w:tcPr>
            <w:tcW w:w="6458" w:type="dxa"/>
          </w:tcPr>
          <w:p w14:paraId="3E91919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物料申请时模糊匹配与语义识别查重，及时提示系统中可能存在的相似数据</w:t>
            </w:r>
          </w:p>
        </w:tc>
      </w:tr>
      <w:tr w14:paraId="2CB18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D70FBD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编码唯一性校验</w:t>
            </w:r>
          </w:p>
        </w:tc>
        <w:tc>
          <w:tcPr>
            <w:tcW w:w="6458" w:type="dxa"/>
          </w:tcPr>
          <w:p w14:paraId="227990B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支持针对不同数据仓库自定义编码唯一值校验规则，避免编码重复</w:t>
            </w:r>
          </w:p>
        </w:tc>
      </w:tr>
      <w:tr w14:paraId="5B164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316835E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关联约束校验</w:t>
            </w:r>
          </w:p>
        </w:tc>
        <w:tc>
          <w:tcPr>
            <w:tcW w:w="6458" w:type="dxa"/>
          </w:tcPr>
          <w:p w14:paraId="05E91D5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支持属性间的关联校验（如根据A值过滤B值、属性组合校验）</w:t>
            </w:r>
          </w:p>
        </w:tc>
      </w:tr>
      <w:tr w14:paraId="7E123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1D1F07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AI质量检查</w:t>
            </w:r>
          </w:p>
        </w:tc>
        <w:tc>
          <w:tcPr>
            <w:tcW w:w="6458" w:type="dxa"/>
          </w:tcPr>
          <w:p w14:paraId="6E02D78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集成AI数据质量检查模块，自动识别数据问题（重复、异常值）并推送整改建议</w:t>
            </w:r>
          </w:p>
        </w:tc>
      </w:tr>
      <w:tr w14:paraId="54AB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B6C4C0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数据稽查机制</w:t>
            </w:r>
          </w:p>
        </w:tc>
        <w:tc>
          <w:tcPr>
            <w:tcW w:w="6458" w:type="dxa"/>
          </w:tcPr>
          <w:p w14:paraId="24AE7AD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事后监控：三段码停用时检查四段码状态、BOM停用时检查销售BOM状态；对应产品四段码全部停用但三段码未停用时自动提示</w:t>
            </w:r>
          </w:p>
        </w:tc>
      </w:tr>
    </w:tbl>
    <w:p w14:paraId="5483E342">
      <w:pPr>
        <w:rPr>
          <w:rFonts w:hint="eastAsia"/>
        </w:rPr>
      </w:pPr>
    </w:p>
    <w:p w14:paraId="62B237E3">
      <w:pPr>
        <w:pStyle w:val="3"/>
        <w:ind w:left="0" w:firstLine="0"/>
        <w:rPr>
          <w:rFonts w:hint="eastAsia"/>
        </w:rPr>
      </w:pPr>
      <w:bookmarkStart w:id="38" w:name="_Toc229660055"/>
      <w:r>
        <w:rPr>
          <w:rFonts w:hint="eastAsia"/>
        </w:rPr>
        <w:t>产品主</w:t>
      </w:r>
      <w:r>
        <w:t>数据全生命周期管理</w:t>
      </w:r>
      <w:bookmarkEnd w:id="38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458"/>
      </w:tblGrid>
      <w:tr w14:paraId="5867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6A16E24B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458" w:type="dxa"/>
          </w:tcPr>
          <w:p w14:paraId="0AF4477E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4D0BC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174027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闭环管理</w:t>
            </w:r>
          </w:p>
        </w:tc>
        <w:tc>
          <w:tcPr>
            <w:tcW w:w="6458" w:type="dxa"/>
          </w:tcPr>
          <w:p w14:paraId="2A8F0DA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数据全生命周期操作（创建、变更、废止、升级）在系统内闭环，含版本升级、流程审批、数据更改协同</w:t>
            </w:r>
          </w:p>
        </w:tc>
      </w:tr>
      <w:tr w14:paraId="576C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7DDB36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版本控制</w:t>
            </w:r>
          </w:p>
        </w:tc>
        <w:tc>
          <w:tcPr>
            <w:tcW w:w="6458" w:type="dxa"/>
          </w:tcPr>
          <w:p w14:paraId="6F38219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支持产品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数据版本控制和变更管理，变更时新旧版本对比，触发下游系统同步更新通知</w:t>
            </w:r>
          </w:p>
        </w:tc>
      </w:tr>
      <w:tr w14:paraId="3BB2A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0A2E98E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状态同步</w:t>
            </w:r>
          </w:p>
        </w:tc>
        <w:tc>
          <w:tcPr>
            <w:tcW w:w="6458" w:type="dxa"/>
          </w:tcPr>
          <w:p w14:paraId="38AC0E7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数据生命周期状态需与PLM、ERP实时同步</w:t>
            </w:r>
          </w:p>
        </w:tc>
      </w:tr>
      <w:tr w14:paraId="2A93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50BA379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审批流程</w:t>
            </w:r>
          </w:p>
        </w:tc>
        <w:tc>
          <w:tcPr>
            <w:tcW w:w="6458" w:type="dxa"/>
          </w:tcPr>
          <w:p w14:paraId="12F3B5D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支持分类分级审批流，支持图形化拖拽自定义工作流，支持会签、转办、驳回、按条件跳转</w:t>
            </w:r>
          </w:p>
        </w:tc>
      </w:tr>
      <w:tr w14:paraId="76822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A20720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批量操作</w:t>
            </w:r>
          </w:p>
        </w:tc>
        <w:tc>
          <w:tcPr>
            <w:tcW w:w="6458" w:type="dxa"/>
          </w:tcPr>
          <w:p w14:paraId="49C3C5A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支持批量导入的流程审批、版本管理、权限控制，保留完整日志</w:t>
            </w:r>
          </w:p>
        </w:tc>
      </w:tr>
      <w:tr w14:paraId="60AA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7A1A5AB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整机替代</w:t>
            </w:r>
          </w:p>
        </w:tc>
        <w:tc>
          <w:tcPr>
            <w:tcW w:w="6458" w:type="dxa"/>
          </w:tcPr>
          <w:p w14:paraId="6016AAF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支持手工取消产品BOM层级关系（整机替代场景），操作后保留修改日志</w:t>
            </w:r>
          </w:p>
        </w:tc>
      </w:tr>
      <w:tr w14:paraId="7F26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</w:tcPr>
          <w:p w14:paraId="10880FF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待办提醒</w:t>
            </w:r>
          </w:p>
        </w:tc>
        <w:tc>
          <w:tcPr>
            <w:tcW w:w="6458" w:type="dxa"/>
          </w:tcPr>
          <w:p w14:paraId="4ED93DD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待办事项绑定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飞书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等移动端，实时预警与审批</w:t>
            </w:r>
          </w:p>
        </w:tc>
      </w:tr>
    </w:tbl>
    <w:p w14:paraId="751B30D7">
      <w:pPr>
        <w:rPr>
          <w:rFonts w:hint="eastAsia"/>
        </w:rPr>
      </w:pPr>
    </w:p>
    <w:p w14:paraId="2F2D8BD6">
      <w:pPr>
        <w:pStyle w:val="3"/>
        <w:ind w:left="0" w:firstLine="0"/>
        <w:rPr>
          <w:rFonts w:hint="eastAsia"/>
        </w:rPr>
      </w:pPr>
      <w:bookmarkStart w:id="39" w:name="_Toc229660056"/>
      <w:r>
        <w:t>系统集成与数据同步</w:t>
      </w:r>
      <w:bookmarkEnd w:id="39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6823"/>
      </w:tblGrid>
      <w:tr w14:paraId="63AB9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15A6198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0" w:type="auto"/>
          </w:tcPr>
          <w:p w14:paraId="035EB753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7301A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93F2BA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平台需求</w:t>
            </w:r>
          </w:p>
        </w:tc>
        <w:tc>
          <w:tcPr>
            <w:tcW w:w="0" w:type="auto"/>
          </w:tcPr>
          <w:p w14:paraId="177B5F3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打造系统集成平台</w:t>
            </w:r>
          </w:p>
        </w:tc>
      </w:tr>
      <w:tr w14:paraId="45F6A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72C17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PLM集成</w:t>
            </w:r>
          </w:p>
        </w:tc>
        <w:tc>
          <w:tcPr>
            <w:tcW w:w="0" w:type="auto"/>
          </w:tcPr>
          <w:p w14:paraId="2774C6A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PLM向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主数据平台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同步：产品三段码、EBOM头、MBOM头、SBOM、JR配件SBOM、图纸、图号、产品状态</w:t>
            </w:r>
          </w:p>
        </w:tc>
      </w:tr>
      <w:tr w14:paraId="32CD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2D248E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ERP集成</w:t>
            </w:r>
          </w:p>
        </w:tc>
        <w:tc>
          <w:tcPr>
            <w:tcW w:w="0" w:type="auto"/>
          </w:tcPr>
          <w:p w14:paraId="7842B95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主数据平台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同步向ERP分发物料主数据多视图；接收ERP轻分析数据用于报表</w:t>
            </w:r>
          </w:p>
        </w:tc>
      </w:tr>
      <w:tr w14:paraId="5E5C4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3D3487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OA集成</w:t>
            </w:r>
          </w:p>
        </w:tc>
        <w:tc>
          <w:tcPr>
            <w:tcW w:w="0" w:type="auto"/>
          </w:tcPr>
          <w:p w14:paraId="2B906AC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新品开发流程、客制化需求、待开发评审闭环</w:t>
            </w:r>
          </w:p>
        </w:tc>
      </w:tr>
      <w:tr w14:paraId="33E54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41BFA8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数据同步自动化</w:t>
            </w:r>
          </w:p>
        </w:tc>
        <w:tc>
          <w:tcPr>
            <w:tcW w:w="0" w:type="auto"/>
          </w:tcPr>
          <w:p w14:paraId="1065FE9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实现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主数据平台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同步、PLM、ERP产品数据自动同步，减少人工重复维护</w:t>
            </w:r>
          </w:p>
        </w:tc>
      </w:tr>
      <w:tr w14:paraId="24CB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08694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视图分发</w:t>
            </w:r>
          </w:p>
        </w:tc>
        <w:tc>
          <w:tcPr>
            <w:tcW w:w="0" w:type="auto"/>
          </w:tcPr>
          <w:p w14:paraId="00BB197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 xml:space="preserve">支持向不同系统分发不同视图数据 </w:t>
            </w:r>
          </w:p>
        </w:tc>
      </w:tr>
      <w:tr w14:paraId="2688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7777A4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MES集成</w:t>
            </w:r>
          </w:p>
        </w:tc>
        <w:tc>
          <w:tcPr>
            <w:tcW w:w="0" w:type="auto"/>
          </w:tcPr>
          <w:p w14:paraId="7D9A60F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质检状态自动同步至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主数据平台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同步</w:t>
            </w:r>
          </w:p>
        </w:tc>
      </w:tr>
      <w:tr w14:paraId="717DF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6DE17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官网集成</w:t>
            </w:r>
          </w:p>
        </w:tc>
        <w:tc>
          <w:tcPr>
            <w:tcW w:w="0" w:type="auto"/>
          </w:tcPr>
          <w:p w14:paraId="686E7B5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产品目录与图片从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主数据平台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同步自动推送至官网，替代现有人工处理导入</w:t>
            </w:r>
          </w:p>
        </w:tc>
      </w:tr>
      <w:tr w14:paraId="4257B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C8AE4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客户物料编码映射</w:t>
            </w:r>
          </w:p>
        </w:tc>
        <w:tc>
          <w:tcPr>
            <w:tcW w:w="0" w:type="auto"/>
          </w:tcPr>
          <w:p w14:paraId="72D3CC7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在</w:t>
            </w: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主数据平台</w:t>
            </w: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同步中维护我司物料编码与客户物料编码的映射关系，分发时按需转换</w:t>
            </w:r>
          </w:p>
        </w:tc>
      </w:tr>
      <w:tr w14:paraId="013D1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AA67F6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CRM集成</w:t>
            </w:r>
          </w:p>
        </w:tc>
        <w:tc>
          <w:tcPr>
            <w:tcW w:w="0" w:type="auto"/>
          </w:tcPr>
          <w:p w14:paraId="2073457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供应商供货能力清单、客户物料编码对照关系同步</w:t>
            </w:r>
          </w:p>
        </w:tc>
      </w:tr>
      <w:tr w14:paraId="0FF42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3767B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数据流向可视化</w:t>
            </w:r>
          </w:p>
        </w:tc>
        <w:tc>
          <w:tcPr>
            <w:tcW w:w="0" w:type="auto"/>
          </w:tcPr>
          <w:p w14:paraId="089324B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支持自定义产品数据在各系统间的流转规则，实现数据流向可视化配置与监控</w:t>
            </w:r>
          </w:p>
        </w:tc>
      </w:tr>
    </w:tbl>
    <w:p w14:paraId="25678C07">
      <w:pPr>
        <w:rPr>
          <w:rFonts w:hint="eastAsia"/>
        </w:rPr>
      </w:pPr>
    </w:p>
    <w:p w14:paraId="1073B8AF">
      <w:pPr>
        <w:pStyle w:val="3"/>
        <w:ind w:left="0" w:firstLine="0"/>
        <w:rPr>
          <w:rFonts w:hint="eastAsia"/>
        </w:rPr>
      </w:pPr>
      <w:bookmarkStart w:id="40" w:name="_Toc229660057"/>
      <w:r>
        <w:t>营销询价与报价</w:t>
      </w:r>
      <w:bookmarkEnd w:id="40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6601"/>
      </w:tblGrid>
      <w:tr w14:paraId="7BF80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280BC05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0" w:type="auto"/>
          </w:tcPr>
          <w:p w14:paraId="5FB9F4FA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65582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ED0C7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询价流程线上化</w:t>
            </w:r>
          </w:p>
        </w:tc>
        <w:tc>
          <w:tcPr>
            <w:tcW w:w="0" w:type="auto"/>
          </w:tcPr>
          <w:p w14:paraId="4504D47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将线下询价转为线上，系统自动记录询价全流程</w:t>
            </w:r>
          </w:p>
        </w:tc>
      </w:tr>
      <w:tr w14:paraId="5077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1F641F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不可供预警</w:t>
            </w:r>
          </w:p>
        </w:tc>
        <w:tc>
          <w:tcPr>
            <w:tcW w:w="0" w:type="auto"/>
          </w:tcPr>
          <w:p w14:paraId="5F4E0DE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询价不可供频次大于10次的产品，自动提示并转入待开发评审文件夹</w:t>
            </w:r>
          </w:p>
        </w:tc>
      </w:tr>
      <w:tr w14:paraId="0BCD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AD6DF8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询价闭环</w:t>
            </w:r>
          </w:p>
        </w:tc>
        <w:tc>
          <w:tcPr>
            <w:tcW w:w="0" w:type="auto"/>
          </w:tcPr>
          <w:p w14:paraId="704B176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销售发起询价→产品部回复→系统记录全流程，支持与OA集成</w:t>
            </w:r>
          </w:p>
        </w:tc>
      </w:tr>
      <w:tr w14:paraId="0422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52FA67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自动报价</w:t>
            </w:r>
          </w:p>
        </w:tc>
        <w:tc>
          <w:tcPr>
            <w:tcW w:w="0" w:type="auto"/>
          </w:tcPr>
          <w:p w14:paraId="2012967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支持基于预设规则自动报价</w:t>
            </w:r>
          </w:p>
        </w:tc>
      </w:tr>
      <w:tr w14:paraId="67304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B41403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引导客户查询</w:t>
            </w:r>
          </w:p>
        </w:tc>
        <w:tc>
          <w:tcPr>
            <w:tcW w:w="0" w:type="auto"/>
          </w:tcPr>
          <w:p w14:paraId="51488C0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网站上支持引导客户使用查询属性</w:t>
            </w:r>
          </w:p>
        </w:tc>
      </w:tr>
    </w:tbl>
    <w:p w14:paraId="41C97427">
      <w:pPr>
        <w:rPr>
          <w:rFonts w:hint="eastAsia"/>
        </w:rPr>
      </w:pPr>
    </w:p>
    <w:p w14:paraId="6879DB2D">
      <w:pPr>
        <w:pStyle w:val="3"/>
        <w:ind w:left="0" w:firstLine="0"/>
        <w:rPr>
          <w:rFonts w:hint="eastAsia"/>
        </w:rPr>
      </w:pPr>
      <w:bookmarkStart w:id="41" w:name="_Toc229660058"/>
      <w:r>
        <w:t>图片与目录处理</w:t>
      </w:r>
      <w:bookmarkEnd w:id="41"/>
    </w:p>
    <w:tbl>
      <w:tblPr>
        <w:tblStyle w:val="34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63"/>
      </w:tblGrid>
      <w:tr w14:paraId="6EF7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5DA337A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663" w:type="dxa"/>
          </w:tcPr>
          <w:p w14:paraId="3EF598E6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513C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B80E0CB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图片在线处理</w:t>
            </w:r>
          </w:p>
        </w:tc>
        <w:tc>
          <w:tcPr>
            <w:tcW w:w="6663" w:type="dxa"/>
          </w:tcPr>
          <w:p w14:paraId="0A3C956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产品图片在线批量处理：抠底图、加水印、自定义尺寸/分辨率调整</w:t>
            </w:r>
          </w:p>
        </w:tc>
      </w:tr>
      <w:tr w14:paraId="5881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1332F54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图片批量导出</w:t>
            </w:r>
          </w:p>
        </w:tc>
        <w:tc>
          <w:tcPr>
            <w:tcW w:w="6663" w:type="dxa"/>
          </w:tcPr>
          <w:p w14:paraId="24F7FBB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图片按物料号批量导出，清晰度满足网站展示及产品目录制作要求</w:t>
            </w:r>
          </w:p>
        </w:tc>
      </w:tr>
      <w:tr w14:paraId="63C9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CC6F51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目录自动生成</w:t>
            </w:r>
          </w:p>
        </w:tc>
        <w:tc>
          <w:tcPr>
            <w:tcW w:w="6663" w:type="dxa"/>
          </w:tcPr>
          <w:p w14:paraId="27B4F28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根据不同模板（PDF、Excel等）自动生成产品目录，一键推送至官网</w:t>
            </w:r>
          </w:p>
        </w:tc>
      </w:tr>
      <w:tr w14:paraId="1BB9C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6AC734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图片标准化存储</w:t>
            </w:r>
          </w:p>
        </w:tc>
        <w:tc>
          <w:tcPr>
            <w:tcW w:w="6663" w:type="dxa"/>
          </w:tcPr>
          <w:p w14:paraId="10D0222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标准图片存储分带水印/不带水印两种格式，各系统按需自动转换获取</w:t>
            </w:r>
          </w:p>
        </w:tc>
      </w:tr>
    </w:tbl>
    <w:p w14:paraId="4229BEDF">
      <w:pPr>
        <w:rPr>
          <w:rFonts w:hint="eastAsia"/>
        </w:rPr>
      </w:pPr>
    </w:p>
    <w:p w14:paraId="568C3A24">
      <w:pPr>
        <w:pStyle w:val="3"/>
        <w:ind w:left="0" w:firstLine="0"/>
        <w:rPr>
          <w:rFonts w:hint="eastAsia"/>
        </w:rPr>
      </w:pPr>
      <w:bookmarkStart w:id="42" w:name="_Toc229660059"/>
      <w:r>
        <w:t>历史数据清洗</w:t>
      </w:r>
      <w:bookmarkEnd w:id="42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2B99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C9F5BB5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600" w:type="dxa"/>
          </w:tcPr>
          <w:p w14:paraId="688E066B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00861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D1F856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历史数据清洗方案</w:t>
            </w:r>
          </w:p>
        </w:tc>
        <w:tc>
          <w:tcPr>
            <w:tcW w:w="6600" w:type="dxa"/>
          </w:tcPr>
          <w:p w14:paraId="2D4D10B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供应商提供清洗工具和方案，清洗PLM/ERP历史物料数据</w:t>
            </w:r>
          </w:p>
        </w:tc>
      </w:tr>
      <w:tr w14:paraId="65773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2E3F570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语义识别清洗</w:t>
            </w:r>
          </w:p>
        </w:tc>
        <w:tc>
          <w:tcPr>
            <w:tcW w:w="6600" w:type="dxa"/>
          </w:tcPr>
          <w:p w14:paraId="6E4B9A9C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支持特征值自动拆分（如将“截止阀RFJ41H 150LB-C DN40 A105”拆分为类型、型号、压力、通径、材质、标准）</w:t>
            </w:r>
          </w:p>
        </w:tc>
      </w:tr>
      <w:tr w14:paraId="4227B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AA9A025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OE号关联清洗</w:t>
            </w:r>
          </w:p>
        </w:tc>
        <w:tc>
          <w:tcPr>
            <w:tcW w:w="6600" w:type="dxa"/>
          </w:tcPr>
          <w:p w14:paraId="48716B2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自动识别并建立OE号、旁通号与内部JR号的关联关系</w:t>
            </w:r>
          </w:p>
        </w:tc>
      </w:tr>
      <w:tr w14:paraId="755C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915FE9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清洗范围判定</w:t>
            </w:r>
          </w:p>
        </w:tc>
        <w:tc>
          <w:tcPr>
            <w:tcW w:w="6600" w:type="dxa"/>
          </w:tcPr>
          <w:p w14:paraId="2BD3BF3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按四象限法（过去使用×将来使用）判定数据清洗或停用策略</w:t>
            </w:r>
          </w:p>
        </w:tc>
      </w:tr>
      <w:tr w14:paraId="2B057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77DC024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清洗质量目标</w:t>
            </w:r>
          </w:p>
        </w:tc>
        <w:tc>
          <w:tcPr>
            <w:tcW w:w="6600" w:type="dxa"/>
          </w:tcPr>
          <w:p w14:paraId="4E51967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物料重复率低于0.5%，关键属性完整率100%</w:t>
            </w:r>
          </w:p>
        </w:tc>
      </w:tr>
      <w:tr w14:paraId="08631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B905907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AI自动分类</w:t>
            </w:r>
          </w:p>
        </w:tc>
        <w:tc>
          <w:tcPr>
            <w:tcW w:w="6600" w:type="dxa"/>
          </w:tcPr>
          <w:p w14:paraId="3BB4210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PDE根据分类规则自动识别数据类型、是否重复、是否标准格式</w:t>
            </w:r>
          </w:p>
        </w:tc>
      </w:tr>
      <w:tr w14:paraId="1275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D7AED4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清洗流程可视化</w:t>
            </w:r>
          </w:p>
        </w:tc>
        <w:tc>
          <w:tcPr>
            <w:tcW w:w="6600" w:type="dxa"/>
          </w:tcPr>
          <w:p w14:paraId="4FEEAD2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提供可配置化清洗流程组件，支持系统自动扫描与人工干预结合</w:t>
            </w:r>
          </w:p>
        </w:tc>
      </w:tr>
    </w:tbl>
    <w:p w14:paraId="30D2E7AA">
      <w:pPr>
        <w:rPr>
          <w:rFonts w:hint="eastAsia"/>
        </w:rPr>
      </w:pPr>
    </w:p>
    <w:p w14:paraId="260E3E73">
      <w:pPr>
        <w:pStyle w:val="3"/>
        <w:ind w:left="0" w:firstLine="0"/>
        <w:rPr>
          <w:rFonts w:hint="eastAsia"/>
        </w:rPr>
      </w:pPr>
      <w:bookmarkStart w:id="43" w:name="_Toc229660060"/>
      <w:r>
        <w:t>报表与统计分析</w:t>
      </w:r>
      <w:bookmarkEnd w:id="43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72DE5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B7E8584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600" w:type="dxa"/>
          </w:tcPr>
          <w:p w14:paraId="0FD4D43A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7169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78349D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查询统计报表</w:t>
            </w:r>
          </w:p>
        </w:tc>
        <w:tc>
          <w:tcPr>
            <w:tcW w:w="6600" w:type="dxa"/>
          </w:tcPr>
          <w:p w14:paraId="62B5BEE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按角色/时间/查询内容生成查询统计报表，按业务类型/部门/人员分类导出</w:t>
            </w:r>
          </w:p>
        </w:tc>
      </w:tr>
      <w:tr w14:paraId="2B7CD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4139701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轻分析报表</w:t>
            </w:r>
          </w:p>
        </w:tc>
        <w:tc>
          <w:tcPr>
            <w:tcW w:w="6600" w:type="dxa"/>
          </w:tcPr>
          <w:p w14:paraId="7E94BF5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基于ERP轻分析逻辑，结合产品生命周期及销量进行自动分析，给出系统性建议</w:t>
            </w:r>
          </w:p>
        </w:tc>
      </w:tr>
      <w:tr w14:paraId="77610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70042D8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对照逻辑查询</w:t>
            </w:r>
          </w:p>
        </w:tc>
        <w:tc>
          <w:tcPr>
            <w:tcW w:w="6600" w:type="dxa"/>
          </w:tcPr>
          <w:p w14:paraId="6B5357ED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记录历史数据对照逻辑（编码对照、属性对照），支持查询与分析</w:t>
            </w:r>
          </w:p>
        </w:tc>
      </w:tr>
    </w:tbl>
    <w:p w14:paraId="61823B2B">
      <w:pPr>
        <w:rPr>
          <w:rFonts w:hint="eastAsia"/>
        </w:rPr>
      </w:pPr>
    </w:p>
    <w:p w14:paraId="5C24D954">
      <w:pPr>
        <w:pStyle w:val="3"/>
        <w:ind w:left="0" w:firstLine="0"/>
        <w:rPr>
          <w:rFonts w:hint="eastAsia"/>
        </w:rPr>
      </w:pPr>
      <w:bookmarkStart w:id="44" w:name="_Toc229660061"/>
      <w:r>
        <w:t>权限与安全</w:t>
      </w:r>
      <w:bookmarkEnd w:id="44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00"/>
      </w:tblGrid>
      <w:tr w14:paraId="5AA42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CB25D4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600" w:type="dxa"/>
          </w:tcPr>
          <w:p w14:paraId="31B07C7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7F9C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5F09F0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精细权限</w:t>
            </w:r>
          </w:p>
        </w:tc>
        <w:tc>
          <w:tcPr>
            <w:tcW w:w="6600" w:type="dxa"/>
          </w:tcPr>
          <w:p w14:paraId="5B12E9B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支持功能权限、数据权限（行级/列级/字段级），支持表单按钮级权限</w:t>
            </w:r>
          </w:p>
        </w:tc>
      </w:tr>
      <w:tr w14:paraId="5212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CB82F6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日志审计</w:t>
            </w:r>
          </w:p>
        </w:tc>
        <w:tc>
          <w:tcPr>
            <w:tcW w:w="6600" w:type="dxa"/>
          </w:tcPr>
          <w:p w14:paraId="30FF6D5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14:ligatures w14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14:ligatures w14:val="none"/>
              </w:rPr>
              <w:t>记录操作日志、查询日志、接口日志、工作流日志，不可删除/修改</w:t>
            </w:r>
          </w:p>
        </w:tc>
      </w:tr>
      <w:tr w14:paraId="1F6C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B6505C4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数据安全</w:t>
            </w:r>
          </w:p>
        </w:tc>
        <w:tc>
          <w:tcPr>
            <w:tcW w:w="6600" w:type="dxa"/>
          </w:tcPr>
          <w:p w14:paraId="5D9B071E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通信加密、敏感数据脱敏、水印功能（含登录用户和时间戳）</w:t>
            </w:r>
          </w:p>
        </w:tc>
      </w:tr>
    </w:tbl>
    <w:p w14:paraId="33746CC7">
      <w:pPr>
        <w:rPr>
          <w:rFonts w:hint="eastAsia"/>
        </w:rPr>
      </w:pPr>
    </w:p>
    <w:p w14:paraId="147DCDE9">
      <w:pPr>
        <w:rPr>
          <w:rFonts w:hint="eastAsia"/>
        </w:rPr>
      </w:pPr>
    </w:p>
    <w:p w14:paraId="39511F4A">
      <w:pPr>
        <w:pStyle w:val="3"/>
        <w:ind w:left="0" w:firstLine="0"/>
        <w:rPr>
          <w:rFonts w:hint="eastAsia"/>
        </w:rPr>
      </w:pPr>
      <w:bookmarkStart w:id="45" w:name="_Toc229660062"/>
      <w:r>
        <w:t>非功能性需求</w:t>
      </w:r>
      <w:bookmarkEnd w:id="45"/>
    </w:p>
    <w:tbl>
      <w:tblPr>
        <w:tblStyle w:val="34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663"/>
      </w:tblGrid>
      <w:tr w14:paraId="38DE0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782A23D5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需求名称</w:t>
            </w:r>
          </w:p>
        </w:tc>
        <w:tc>
          <w:tcPr>
            <w:tcW w:w="6663" w:type="dxa"/>
          </w:tcPr>
          <w:p w14:paraId="03ADAD4D">
            <w:pPr>
              <w:widowControl/>
              <w:jc w:val="center"/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b/>
                <w:bCs/>
                <w:color w:val="0F1115"/>
                <w:kern w:val="0"/>
                <w:sz w:val="24"/>
                <w:szCs w:val="24"/>
                <w14:ligatures w14:val="none"/>
              </w:rPr>
              <w:t>需求描述</w:t>
            </w:r>
          </w:p>
        </w:tc>
      </w:tr>
      <w:tr w14:paraId="4D10E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9B71AF8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多租户管理</w:t>
            </w:r>
          </w:p>
        </w:tc>
        <w:tc>
          <w:tcPr>
            <w:tcW w:w="6663" w:type="dxa"/>
          </w:tcPr>
          <w:p w14:paraId="4092714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支持多组织分级管控，租户间数据隔离，满足集团统一管控与差异化管理</w:t>
            </w:r>
          </w:p>
        </w:tc>
      </w:tr>
      <w:tr w14:paraId="47C5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1D27F34F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多语言支持</w:t>
            </w:r>
          </w:p>
        </w:tc>
        <w:tc>
          <w:tcPr>
            <w:tcW w:w="6663" w:type="dxa"/>
          </w:tcPr>
          <w:p w14:paraId="20ADD4B3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支持页面多语言及数据多语言，满足国际化战略</w:t>
            </w:r>
          </w:p>
        </w:tc>
      </w:tr>
      <w:tr w14:paraId="690CB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023C731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高可用性</w:t>
            </w:r>
          </w:p>
        </w:tc>
        <w:tc>
          <w:tcPr>
            <w:tcW w:w="6663" w:type="dxa"/>
          </w:tcPr>
          <w:p w14:paraId="6417330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支持负载均衡、数据库集群、双机热备，具备容错与恢复能力</w:t>
            </w:r>
          </w:p>
        </w:tc>
      </w:tr>
      <w:tr w14:paraId="7D90F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8400746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可扩展性</w:t>
            </w:r>
          </w:p>
        </w:tc>
        <w:tc>
          <w:tcPr>
            <w:tcW w:w="6663" w:type="dxa"/>
          </w:tcPr>
          <w:p w14:paraId="3B63C53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新产品品类能快速兼容配置，支持未来3-5年发展要求</w:t>
            </w:r>
          </w:p>
        </w:tc>
      </w:tr>
      <w:tr w14:paraId="24464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D10A87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部署兼容性</w:t>
            </w:r>
          </w:p>
        </w:tc>
        <w:tc>
          <w:tcPr>
            <w:tcW w:w="6663" w:type="dxa"/>
          </w:tcPr>
          <w:p w14:paraId="431C0059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支持Windows/Linux主流操作系统，支持Oracle/MySQL数据库</w:t>
            </w:r>
          </w:p>
        </w:tc>
      </w:tr>
      <w:tr w14:paraId="5241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7AD3782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性能</w:t>
            </w:r>
          </w:p>
        </w:tc>
        <w:tc>
          <w:tcPr>
            <w:tcW w:w="6663" w:type="dxa"/>
          </w:tcPr>
          <w:p w14:paraId="3B37443A">
            <w:pPr>
              <w:widowControl/>
              <w:jc w:val="left"/>
              <w:rPr>
                <w:rFonts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Segoe UI" w:hAnsi="Segoe UI" w:eastAsia="宋体" w:cs="Segoe UI"/>
                <w:color w:val="0F1115"/>
                <w:kern w:val="0"/>
                <w:sz w:val="24"/>
                <w:szCs w:val="24"/>
                <w14:ligatures w14:val="none"/>
              </w:rPr>
              <w:t>用户操作（如查询功能）响应速度2秒以内</w:t>
            </w:r>
          </w:p>
        </w:tc>
      </w:tr>
    </w:tbl>
    <w:p w14:paraId="362E1D13">
      <w:pPr>
        <w:rPr>
          <w:rFonts w:hint="eastAsia"/>
        </w:rPr>
      </w:pPr>
    </w:p>
    <w:p w14:paraId="221E4542">
      <w:pPr>
        <w:pStyle w:val="2"/>
        <w:rPr>
          <w:rFonts w:hint="eastAsia"/>
        </w:rPr>
      </w:pPr>
      <w:bookmarkStart w:id="46" w:name="_Toc229660063"/>
      <w:r>
        <w:t>项目实施要求</w:t>
      </w:r>
      <w:bookmarkEnd w:id="46"/>
    </w:p>
    <w:p w14:paraId="7E53C944">
      <w:pPr>
        <w:pStyle w:val="3"/>
        <w:ind w:left="0" w:firstLine="0"/>
        <w:rPr>
          <w:rFonts w:hint="eastAsia"/>
        </w:rPr>
      </w:pPr>
      <w:bookmarkStart w:id="47" w:name="_Toc229660064"/>
      <w:r>
        <w:t>项目阶段与计划</w:t>
      </w:r>
      <w:bookmarkEnd w:id="47"/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961"/>
        <w:gridCol w:w="1843"/>
      </w:tblGrid>
      <w:tr w14:paraId="6B1A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6F5D432A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阶段</w:t>
            </w:r>
          </w:p>
        </w:tc>
        <w:tc>
          <w:tcPr>
            <w:tcW w:w="4961" w:type="dxa"/>
          </w:tcPr>
          <w:p w14:paraId="67E6A00F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主要工作内容</w:t>
            </w:r>
          </w:p>
        </w:tc>
        <w:tc>
          <w:tcPr>
            <w:tcW w:w="1843" w:type="dxa"/>
          </w:tcPr>
          <w:p w14:paraId="15975EC1">
            <w:pPr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建议时间周期</w:t>
            </w:r>
          </w:p>
        </w:tc>
      </w:tr>
      <w:tr w14:paraId="78BB7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098FB50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项目前期</w:t>
            </w:r>
          </w:p>
        </w:tc>
        <w:tc>
          <w:tcPr>
            <w:tcW w:w="4961" w:type="dxa"/>
          </w:tcPr>
          <w:p w14:paraId="07EDCF82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需求调研</w:t>
            </w:r>
            <w:r>
              <w:rPr>
                <w:rFonts w:ascii="Times New Roman" w:hAnsi="Times New Roman" w:eastAsia="宋体" w:cs="Times New Roman"/>
              </w:rPr>
              <w:t>、框架设计、方案初稿、方案确认</w:t>
            </w:r>
          </w:p>
        </w:tc>
        <w:tc>
          <w:tcPr>
            <w:tcW w:w="1843" w:type="dxa"/>
          </w:tcPr>
          <w:p w14:paraId="493E5E7B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5月-6月</w:t>
            </w:r>
          </w:p>
        </w:tc>
      </w:tr>
      <w:tr w14:paraId="06AB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4B229A17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实施与蓝图</w:t>
            </w:r>
          </w:p>
        </w:tc>
        <w:tc>
          <w:tcPr>
            <w:tcW w:w="4961" w:type="dxa"/>
          </w:tcPr>
          <w:p w14:paraId="097E39B4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需求调研、</w:t>
            </w:r>
            <w:r>
              <w:rPr>
                <w:rFonts w:hint="eastAsia" w:ascii="Times New Roman" w:hAnsi="Times New Roman" w:eastAsia="宋体" w:cs="Times New Roman"/>
              </w:rPr>
              <w:t>流程组织定义、数据标准定义、</w:t>
            </w:r>
            <w:r>
              <w:rPr>
                <w:rFonts w:ascii="Times New Roman" w:hAnsi="Times New Roman" w:eastAsia="宋体" w:cs="Times New Roman"/>
              </w:rPr>
              <w:t>核心数据流设计、方案终审、蓝图签订</w:t>
            </w:r>
          </w:p>
        </w:tc>
        <w:tc>
          <w:tcPr>
            <w:tcW w:w="1843" w:type="dxa"/>
          </w:tcPr>
          <w:p w14:paraId="4A785D98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6月-7月</w:t>
            </w:r>
          </w:p>
        </w:tc>
      </w:tr>
      <w:tr w14:paraId="7ACF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7B8EB668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部署与开发</w:t>
            </w:r>
          </w:p>
        </w:tc>
        <w:tc>
          <w:tcPr>
            <w:tcW w:w="4961" w:type="dxa"/>
          </w:tcPr>
          <w:p w14:paraId="2CF8B961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平台部署配置、接口开发对接、功能拓展、流程配置、数据清洗标准化、初始化入仓</w:t>
            </w:r>
          </w:p>
        </w:tc>
        <w:tc>
          <w:tcPr>
            <w:tcW w:w="1843" w:type="dxa"/>
          </w:tcPr>
          <w:p w14:paraId="5CEC92FB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6月-9月</w:t>
            </w:r>
          </w:p>
        </w:tc>
      </w:tr>
      <w:tr w14:paraId="48C81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08169804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系统测试</w:t>
            </w:r>
          </w:p>
        </w:tc>
        <w:tc>
          <w:tcPr>
            <w:tcW w:w="4961" w:type="dxa"/>
          </w:tcPr>
          <w:p w14:paraId="65D28647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功能/接口/性能测试、数据验证、业务试运行</w:t>
            </w:r>
          </w:p>
        </w:tc>
        <w:tc>
          <w:tcPr>
            <w:tcW w:w="1843" w:type="dxa"/>
          </w:tcPr>
          <w:p w14:paraId="58762DCE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9月-10月</w:t>
            </w:r>
          </w:p>
        </w:tc>
      </w:tr>
      <w:tr w14:paraId="087EE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</w:tcPr>
          <w:p w14:paraId="3EAB67E6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验收与上线</w:t>
            </w:r>
          </w:p>
        </w:tc>
        <w:tc>
          <w:tcPr>
            <w:tcW w:w="4961" w:type="dxa"/>
          </w:tcPr>
          <w:p w14:paraId="50BDBBA5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多维度验收、验收资料整理、终验签署、正式上线、知识转移</w:t>
            </w:r>
          </w:p>
        </w:tc>
        <w:tc>
          <w:tcPr>
            <w:tcW w:w="1843" w:type="dxa"/>
          </w:tcPr>
          <w:p w14:paraId="19D481A9"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10月-12月</w:t>
            </w:r>
          </w:p>
        </w:tc>
      </w:tr>
    </w:tbl>
    <w:p w14:paraId="0754AF8D">
      <w:pPr>
        <w:pStyle w:val="3"/>
        <w:ind w:left="0" w:firstLine="0"/>
        <w:rPr>
          <w:rFonts w:hint="eastAsia"/>
        </w:rPr>
      </w:pPr>
      <w:bookmarkStart w:id="48" w:name="_Toc229660065"/>
      <w:r>
        <w:t>培训与知识</w:t>
      </w:r>
      <w:r>
        <w:rPr>
          <w:rFonts w:hint="eastAsia"/>
        </w:rPr>
        <w:t>交接</w:t>
      </w:r>
      <w:bookmarkEnd w:id="48"/>
    </w:p>
    <w:p w14:paraId="56DF5677">
      <w:pPr>
        <w:pStyle w:val="92"/>
        <w:rPr>
          <w:rFonts w:hint="eastAsia"/>
        </w:rPr>
      </w:pPr>
      <w:r>
        <w:rPr>
          <w:b/>
          <w:bCs/>
        </w:rPr>
        <w:t>系统管理员</w:t>
      </w:r>
      <w:r>
        <w:t>：安装、配置、维护、故障排查</w:t>
      </w:r>
    </w:p>
    <w:p w14:paraId="5104ED72">
      <w:pPr>
        <w:pStyle w:val="92"/>
        <w:rPr>
          <w:rFonts w:hint="eastAsia"/>
        </w:rPr>
      </w:pPr>
      <w:r>
        <w:rPr>
          <w:b/>
          <w:bCs/>
        </w:rPr>
        <w:t>系统维护人员</w:t>
      </w:r>
      <w:r>
        <w:t>：产品功能、日常运维、工作流配置</w:t>
      </w:r>
    </w:p>
    <w:p w14:paraId="4515FC90">
      <w:pPr>
        <w:pStyle w:val="92"/>
        <w:rPr>
          <w:rFonts w:hint="eastAsia"/>
        </w:rPr>
      </w:pPr>
      <w:r>
        <w:rPr>
          <w:b/>
          <w:bCs/>
        </w:rPr>
        <w:t>业务操作人员</w:t>
      </w:r>
      <w:r>
        <w:t>：数据申请、查询、审批</w:t>
      </w:r>
    </w:p>
    <w:p w14:paraId="77870B75">
      <w:pPr>
        <w:pStyle w:val="92"/>
        <w:rPr>
          <w:rFonts w:hint="eastAsia"/>
        </w:rPr>
      </w:pPr>
      <w:r>
        <w:rPr>
          <w:b/>
          <w:bCs/>
        </w:rPr>
        <w:t>数据标准维护专员</w:t>
      </w:r>
      <w:r>
        <w:t>：</w:t>
      </w:r>
      <w:r>
        <w:rPr>
          <w:rFonts w:hint="eastAsia"/>
        </w:rPr>
        <w:t>数据录入、</w:t>
      </w:r>
      <w:r>
        <w:t>分类调整、模板修改、规则优化</w:t>
      </w:r>
    </w:p>
    <w:p w14:paraId="12CF7DF8">
      <w:pPr>
        <w:rPr>
          <w:rFonts w:hint="eastAsia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4387830"/>
    </w:sdtPr>
    <w:sdtEndPr>
      <w:rPr>
        <w:rFonts w:asciiTheme="minorEastAsia" w:hAnsiTheme="minorEastAsia"/>
        <w:sz w:val="20"/>
      </w:rPr>
    </w:sdtEndPr>
    <w:sdtContent>
      <w:p w14:paraId="338D9720">
        <w:pPr>
          <w:pStyle w:val="13"/>
          <w:numPr>
            <w:ilvl w:val="0"/>
            <w:numId w:val="0"/>
          </w:numPr>
          <w:ind w:left="1680"/>
          <w:jc w:val="center"/>
          <w:rPr>
            <w:rFonts w:hint="eastAsia" w:asciiTheme="minorEastAsia" w:hAnsiTheme="minorEastAsia"/>
            <w:sz w:val="20"/>
          </w:rPr>
        </w:pPr>
        <w:r>
          <w:rPr>
            <w:rFonts w:asciiTheme="minorEastAsia" w:hAnsiTheme="minorEastAsia"/>
            <w:sz w:val="20"/>
          </w:rPr>
          <w:fldChar w:fldCharType="begin"/>
        </w:r>
        <w:r>
          <w:rPr>
            <w:rFonts w:asciiTheme="minorEastAsia" w:hAnsiTheme="minorEastAsia"/>
            <w:sz w:val="20"/>
          </w:rPr>
          <w:instrText xml:space="preserve">PAGE   \* MERGEFORMAT</w:instrText>
        </w:r>
        <w:r>
          <w:rPr>
            <w:rFonts w:asciiTheme="minorEastAsia" w:hAnsiTheme="minorEastAsia"/>
            <w:sz w:val="20"/>
          </w:rPr>
          <w:fldChar w:fldCharType="separate"/>
        </w:r>
        <w:r>
          <w:rPr>
            <w:rFonts w:asciiTheme="minorEastAsia" w:hAnsiTheme="minorEastAsia"/>
            <w:sz w:val="20"/>
            <w:lang w:val="zh-CN"/>
          </w:rPr>
          <w:t>III</w:t>
        </w:r>
        <w:r>
          <w:rPr>
            <w:rFonts w:asciiTheme="minorEastAsia" w:hAnsiTheme="minorEastAsia"/>
            <w:sz w:val="20"/>
          </w:rPr>
          <w:fldChar w:fldCharType="end"/>
        </w:r>
      </w:p>
    </w:sdtContent>
  </w:sdt>
  <w:p w14:paraId="59EB7EE4">
    <w:pPr>
      <w:rPr>
        <w:rFonts w:hint="eastAsia"/>
      </w:rPr>
    </w:pPr>
  </w:p>
  <w:p w14:paraId="3A6FC99E">
    <w:pPr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88666205"/>
    </w:sdtPr>
    <w:sdtEndPr>
      <w:rPr>
        <w:rFonts w:asciiTheme="minorEastAsia" w:hAnsiTheme="minorEastAsia"/>
        <w:sz w:val="20"/>
      </w:rPr>
    </w:sdtEndPr>
    <w:sdtContent>
      <w:p w14:paraId="44F621AB">
        <w:pPr>
          <w:pStyle w:val="13"/>
          <w:numPr>
            <w:ilvl w:val="0"/>
            <w:numId w:val="0"/>
          </w:numPr>
          <w:jc w:val="center"/>
          <w:rPr>
            <w:rFonts w:hint="eastAsia" w:asciiTheme="minorEastAsia" w:hAnsiTheme="minorEastAsia"/>
            <w:sz w:val="20"/>
          </w:rPr>
        </w:pPr>
        <w:r>
          <w:rPr>
            <w:rFonts w:asciiTheme="minorEastAsia" w:hAnsiTheme="minorEastAsia"/>
            <w:sz w:val="20"/>
          </w:rPr>
          <w:fldChar w:fldCharType="begin"/>
        </w:r>
        <w:r>
          <w:rPr>
            <w:rFonts w:asciiTheme="minorEastAsia" w:hAnsiTheme="minorEastAsia"/>
            <w:sz w:val="20"/>
          </w:rPr>
          <w:instrText xml:space="preserve">PAGE   \* MERGEFORMAT</w:instrText>
        </w:r>
        <w:r>
          <w:rPr>
            <w:rFonts w:asciiTheme="minorEastAsia" w:hAnsiTheme="minorEastAsia"/>
            <w:sz w:val="20"/>
          </w:rPr>
          <w:fldChar w:fldCharType="separate"/>
        </w:r>
        <w:r>
          <w:rPr>
            <w:rFonts w:asciiTheme="minorEastAsia" w:hAnsiTheme="minorEastAsia"/>
            <w:sz w:val="20"/>
          </w:rPr>
          <w:t>33</w:t>
        </w:r>
        <w:r>
          <w:rPr>
            <w:rFonts w:asciiTheme="minorEastAsia" w:hAnsiTheme="minorEastAsia"/>
            <w:sz w:val="20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821A11"/>
    <w:multiLevelType w:val="multilevel"/>
    <w:tmpl w:val="04821A11"/>
    <w:lvl w:ilvl="0" w:tentative="0">
      <w:start w:val="1"/>
      <w:numFmt w:val="bullet"/>
      <w:pStyle w:val="92"/>
      <w:lvlText w:val=""/>
      <w:lvlJc w:val="left"/>
      <w:pPr>
        <w:ind w:left="92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6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0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8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2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6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40" w:hanging="440"/>
      </w:pPr>
      <w:rPr>
        <w:rFonts w:hint="default" w:ascii="Wingdings" w:hAnsi="Wingdings"/>
      </w:rPr>
    </w:lvl>
  </w:abstractNum>
  <w:abstractNum w:abstractNumId="1">
    <w:nsid w:val="0B5B4942"/>
    <w:multiLevelType w:val="multilevel"/>
    <w:tmpl w:val="0B5B4942"/>
    <w:lvl w:ilvl="0" w:tentative="0">
      <w:start w:val="8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  <w:b w:val="0"/>
      </w:rPr>
    </w:lvl>
    <w:lvl w:ilvl="1" w:tentative="0">
      <w:start w:val="1"/>
      <w:numFmt w:val="decimal"/>
      <w:lvlText w:val="%2%1.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none"/>
      <w:pStyle w:val="11"/>
      <w:lvlText w:val="8.2.1."/>
      <w:lvlJc w:val="left"/>
      <w:pPr>
        <w:tabs>
          <w:tab w:val="left" w:pos="709"/>
        </w:tabs>
        <w:ind w:left="709" w:hanging="709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1.4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32D83AF6"/>
    <w:multiLevelType w:val="multilevel"/>
    <w:tmpl w:val="32D83AF6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asciiTheme="minorEastAsia" w:hAnsiTheme="minorEastAsia" w:eastAsiaTheme="minorEastAsia"/>
      </w:rPr>
    </w:lvl>
    <w:lvl w:ilvl="1" w:tentative="0">
      <w:start w:val="1"/>
      <w:numFmt w:val="decimal"/>
      <w:pStyle w:val="3"/>
      <w:lvlText w:val="%1.%2."/>
      <w:lvlJc w:val="left"/>
      <w:pPr>
        <w:ind w:left="1842" w:hanging="567"/>
      </w:pPr>
      <w:rPr>
        <w:lang w:eastAsia="zh-CN"/>
      </w:r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>
    <w:nsid w:val="419117F5"/>
    <w:multiLevelType w:val="multilevel"/>
    <w:tmpl w:val="419117F5"/>
    <w:lvl w:ilvl="0" w:tentative="0">
      <w:start w:val="1"/>
      <w:numFmt w:val="decimal"/>
      <w:pStyle w:val="72"/>
      <w:lvlText w:val="1.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DCE13E8"/>
    <w:multiLevelType w:val="multilevel"/>
    <w:tmpl w:val="4DCE13E8"/>
    <w:lvl w:ilvl="0" w:tentative="0">
      <w:start w:val="1"/>
      <w:numFmt w:val="bullet"/>
      <w:pStyle w:val="13"/>
      <w:lvlText w:val=""/>
      <w:lvlJc w:val="left"/>
      <w:pPr>
        <w:ind w:left="21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6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0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460" w:hanging="420"/>
      </w:pPr>
      <w:rPr>
        <w:rFonts w:hint="default" w:ascii="Wingdings" w:hAnsi="Wingdings"/>
      </w:rPr>
    </w:lvl>
  </w:abstractNum>
  <w:abstractNum w:abstractNumId="5">
    <w:nsid w:val="57D01B04"/>
    <w:multiLevelType w:val="multilevel"/>
    <w:tmpl w:val="57D01B04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27" w:hanging="227"/>
      </w:pPr>
      <w:rPr>
        <w:rFonts w:hint="eastAsia"/>
      </w:rPr>
    </w:lvl>
    <w:lvl w:ilvl="1" w:tentative="0">
      <w:start w:val="1"/>
      <w:numFmt w:val="decimal"/>
      <w:pStyle w:val="71"/>
      <w:suff w:val="space"/>
      <w:lvlText w:val="%1.%2"/>
      <w:lvlJc w:val="left"/>
      <w:pPr>
        <w:ind w:left="340" w:hanging="340"/>
      </w:pPr>
      <w:rPr>
        <w:rFonts w:hint="eastAsia"/>
      </w:rPr>
    </w:lvl>
    <w:lvl w:ilvl="2" w:tentative="0">
      <w:start w:val="1"/>
      <w:numFmt w:val="decimal"/>
      <w:suff w:val="space"/>
      <w:lvlText w:val="%1.%2.%3"/>
      <w:lvlJc w:val="left"/>
      <w:pPr>
        <w:ind w:left="454" w:hanging="454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624" w:hanging="624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737" w:hanging="737"/>
      </w:pPr>
      <w:rPr>
        <w:rFonts w:hint="eastAsia"/>
      </w:r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5A5"/>
    <w:rsid w:val="00000802"/>
    <w:rsid w:val="00001289"/>
    <w:rsid w:val="000042B4"/>
    <w:rsid w:val="00005FD8"/>
    <w:rsid w:val="000106B1"/>
    <w:rsid w:val="000135A4"/>
    <w:rsid w:val="000225D6"/>
    <w:rsid w:val="0002437E"/>
    <w:rsid w:val="00026DB6"/>
    <w:rsid w:val="00033672"/>
    <w:rsid w:val="00034D80"/>
    <w:rsid w:val="00042DB8"/>
    <w:rsid w:val="00051A11"/>
    <w:rsid w:val="0005340B"/>
    <w:rsid w:val="00053673"/>
    <w:rsid w:val="000554C6"/>
    <w:rsid w:val="00056C1D"/>
    <w:rsid w:val="000622C1"/>
    <w:rsid w:val="00063B3B"/>
    <w:rsid w:val="00063DCC"/>
    <w:rsid w:val="00067389"/>
    <w:rsid w:val="00072878"/>
    <w:rsid w:val="00073ECE"/>
    <w:rsid w:val="00080918"/>
    <w:rsid w:val="000828A4"/>
    <w:rsid w:val="00082907"/>
    <w:rsid w:val="00082E7B"/>
    <w:rsid w:val="000876C7"/>
    <w:rsid w:val="000970FB"/>
    <w:rsid w:val="000A013D"/>
    <w:rsid w:val="000A288B"/>
    <w:rsid w:val="000A46A7"/>
    <w:rsid w:val="000B30A9"/>
    <w:rsid w:val="000B3348"/>
    <w:rsid w:val="000B3368"/>
    <w:rsid w:val="000B40F8"/>
    <w:rsid w:val="000B6459"/>
    <w:rsid w:val="000C3297"/>
    <w:rsid w:val="000C3447"/>
    <w:rsid w:val="000C6090"/>
    <w:rsid w:val="000C7E54"/>
    <w:rsid w:val="000D09AF"/>
    <w:rsid w:val="000D6C8B"/>
    <w:rsid w:val="000E124E"/>
    <w:rsid w:val="000E4642"/>
    <w:rsid w:val="000F1CFF"/>
    <w:rsid w:val="000F2924"/>
    <w:rsid w:val="000F396E"/>
    <w:rsid w:val="000F5B00"/>
    <w:rsid w:val="000F63FA"/>
    <w:rsid w:val="00103354"/>
    <w:rsid w:val="001050E7"/>
    <w:rsid w:val="0011160C"/>
    <w:rsid w:val="00115E48"/>
    <w:rsid w:val="00116CEC"/>
    <w:rsid w:val="00121DB4"/>
    <w:rsid w:val="0012640D"/>
    <w:rsid w:val="00126C37"/>
    <w:rsid w:val="00131F46"/>
    <w:rsid w:val="00135106"/>
    <w:rsid w:val="00135BF6"/>
    <w:rsid w:val="001368FD"/>
    <w:rsid w:val="00137431"/>
    <w:rsid w:val="001401C5"/>
    <w:rsid w:val="00146824"/>
    <w:rsid w:val="00147161"/>
    <w:rsid w:val="001522EE"/>
    <w:rsid w:val="00157DFF"/>
    <w:rsid w:val="00164031"/>
    <w:rsid w:val="001711CC"/>
    <w:rsid w:val="001736B4"/>
    <w:rsid w:val="0018430B"/>
    <w:rsid w:val="00184F37"/>
    <w:rsid w:val="0019483C"/>
    <w:rsid w:val="00195534"/>
    <w:rsid w:val="00195D4D"/>
    <w:rsid w:val="00196B39"/>
    <w:rsid w:val="001A3437"/>
    <w:rsid w:val="001A5AD6"/>
    <w:rsid w:val="001A6239"/>
    <w:rsid w:val="001B0626"/>
    <w:rsid w:val="001B7704"/>
    <w:rsid w:val="001C288C"/>
    <w:rsid w:val="001C2BF1"/>
    <w:rsid w:val="001C5734"/>
    <w:rsid w:val="001D1AE8"/>
    <w:rsid w:val="001D2B9B"/>
    <w:rsid w:val="001D7E5F"/>
    <w:rsid w:val="001E11E5"/>
    <w:rsid w:val="001E33BA"/>
    <w:rsid w:val="001E5677"/>
    <w:rsid w:val="001F541C"/>
    <w:rsid w:val="001F6FFC"/>
    <w:rsid w:val="001F7257"/>
    <w:rsid w:val="002005E9"/>
    <w:rsid w:val="00201DB9"/>
    <w:rsid w:val="002066BE"/>
    <w:rsid w:val="002071C8"/>
    <w:rsid w:val="0020737A"/>
    <w:rsid w:val="00207745"/>
    <w:rsid w:val="00207CF5"/>
    <w:rsid w:val="00214412"/>
    <w:rsid w:val="002173AE"/>
    <w:rsid w:val="002254FD"/>
    <w:rsid w:val="002278C3"/>
    <w:rsid w:val="00230614"/>
    <w:rsid w:val="002306BF"/>
    <w:rsid w:val="0024108D"/>
    <w:rsid w:val="0024211C"/>
    <w:rsid w:val="002470AC"/>
    <w:rsid w:val="002476E1"/>
    <w:rsid w:val="00250C1A"/>
    <w:rsid w:val="002510A9"/>
    <w:rsid w:val="00254A4B"/>
    <w:rsid w:val="00256165"/>
    <w:rsid w:val="002654BD"/>
    <w:rsid w:val="00277E5F"/>
    <w:rsid w:val="00290BD2"/>
    <w:rsid w:val="00294692"/>
    <w:rsid w:val="00294E5C"/>
    <w:rsid w:val="00296833"/>
    <w:rsid w:val="002A05EA"/>
    <w:rsid w:val="002A5A77"/>
    <w:rsid w:val="002A6BC9"/>
    <w:rsid w:val="002B0268"/>
    <w:rsid w:val="002B28F1"/>
    <w:rsid w:val="002B52AA"/>
    <w:rsid w:val="002B72AC"/>
    <w:rsid w:val="002C5373"/>
    <w:rsid w:val="002D1F6B"/>
    <w:rsid w:val="002D66E7"/>
    <w:rsid w:val="002D6836"/>
    <w:rsid w:val="002D77A1"/>
    <w:rsid w:val="002E0899"/>
    <w:rsid w:val="002E1928"/>
    <w:rsid w:val="002F1D9E"/>
    <w:rsid w:val="002F3566"/>
    <w:rsid w:val="002F3C41"/>
    <w:rsid w:val="002F6490"/>
    <w:rsid w:val="003033A7"/>
    <w:rsid w:val="00305532"/>
    <w:rsid w:val="00305806"/>
    <w:rsid w:val="003079D5"/>
    <w:rsid w:val="00307CF3"/>
    <w:rsid w:val="00310482"/>
    <w:rsid w:val="00311838"/>
    <w:rsid w:val="003245AA"/>
    <w:rsid w:val="00325A99"/>
    <w:rsid w:val="00326E1A"/>
    <w:rsid w:val="003270B3"/>
    <w:rsid w:val="003275AB"/>
    <w:rsid w:val="0033548D"/>
    <w:rsid w:val="00337063"/>
    <w:rsid w:val="00337459"/>
    <w:rsid w:val="0033792C"/>
    <w:rsid w:val="00344CE6"/>
    <w:rsid w:val="003467D1"/>
    <w:rsid w:val="00351789"/>
    <w:rsid w:val="00351B2B"/>
    <w:rsid w:val="003535B2"/>
    <w:rsid w:val="0035515D"/>
    <w:rsid w:val="003562B7"/>
    <w:rsid w:val="00356874"/>
    <w:rsid w:val="00362711"/>
    <w:rsid w:val="00362F43"/>
    <w:rsid w:val="0036488C"/>
    <w:rsid w:val="00365B6C"/>
    <w:rsid w:val="00367820"/>
    <w:rsid w:val="003710AF"/>
    <w:rsid w:val="003758F6"/>
    <w:rsid w:val="0037720C"/>
    <w:rsid w:val="003848DD"/>
    <w:rsid w:val="00385133"/>
    <w:rsid w:val="00385E75"/>
    <w:rsid w:val="003927DB"/>
    <w:rsid w:val="00392B8C"/>
    <w:rsid w:val="003958E1"/>
    <w:rsid w:val="00395F90"/>
    <w:rsid w:val="003975CE"/>
    <w:rsid w:val="00397FBB"/>
    <w:rsid w:val="003B3383"/>
    <w:rsid w:val="003B368A"/>
    <w:rsid w:val="003B45D9"/>
    <w:rsid w:val="003B4B9B"/>
    <w:rsid w:val="003C120A"/>
    <w:rsid w:val="003C12A7"/>
    <w:rsid w:val="003C27BC"/>
    <w:rsid w:val="003C4A97"/>
    <w:rsid w:val="003E4DEE"/>
    <w:rsid w:val="003E6AF6"/>
    <w:rsid w:val="00400B50"/>
    <w:rsid w:val="00403930"/>
    <w:rsid w:val="00410D9F"/>
    <w:rsid w:val="00412D19"/>
    <w:rsid w:val="004214B5"/>
    <w:rsid w:val="00421ACA"/>
    <w:rsid w:val="00421E47"/>
    <w:rsid w:val="004263D0"/>
    <w:rsid w:val="00426A78"/>
    <w:rsid w:val="004318ED"/>
    <w:rsid w:val="004343FE"/>
    <w:rsid w:val="00435096"/>
    <w:rsid w:val="004375BF"/>
    <w:rsid w:val="00437814"/>
    <w:rsid w:val="00437CFA"/>
    <w:rsid w:val="00442399"/>
    <w:rsid w:val="00443836"/>
    <w:rsid w:val="00443F96"/>
    <w:rsid w:val="00445A01"/>
    <w:rsid w:val="004504A9"/>
    <w:rsid w:val="004513C1"/>
    <w:rsid w:val="00451AA7"/>
    <w:rsid w:val="00464017"/>
    <w:rsid w:val="0046676F"/>
    <w:rsid w:val="00472501"/>
    <w:rsid w:val="00482456"/>
    <w:rsid w:val="00482A13"/>
    <w:rsid w:val="0049449A"/>
    <w:rsid w:val="00497295"/>
    <w:rsid w:val="004A5C85"/>
    <w:rsid w:val="004B3342"/>
    <w:rsid w:val="004C224F"/>
    <w:rsid w:val="004D164B"/>
    <w:rsid w:val="004D2B08"/>
    <w:rsid w:val="004E379D"/>
    <w:rsid w:val="004E3E6A"/>
    <w:rsid w:val="004E7DA4"/>
    <w:rsid w:val="004F2CE9"/>
    <w:rsid w:val="004F32A7"/>
    <w:rsid w:val="004F36FD"/>
    <w:rsid w:val="004F37D9"/>
    <w:rsid w:val="004F4A9A"/>
    <w:rsid w:val="004F4D08"/>
    <w:rsid w:val="00502050"/>
    <w:rsid w:val="00502D76"/>
    <w:rsid w:val="00503021"/>
    <w:rsid w:val="0050438D"/>
    <w:rsid w:val="005048CA"/>
    <w:rsid w:val="00507ECE"/>
    <w:rsid w:val="005201D0"/>
    <w:rsid w:val="0052206C"/>
    <w:rsid w:val="005222F9"/>
    <w:rsid w:val="00524ABF"/>
    <w:rsid w:val="00532E6C"/>
    <w:rsid w:val="005348E9"/>
    <w:rsid w:val="00535E95"/>
    <w:rsid w:val="00536FF0"/>
    <w:rsid w:val="00543597"/>
    <w:rsid w:val="005437A7"/>
    <w:rsid w:val="0054422F"/>
    <w:rsid w:val="005474E8"/>
    <w:rsid w:val="005561E4"/>
    <w:rsid w:val="005619C4"/>
    <w:rsid w:val="00562C18"/>
    <w:rsid w:val="005664A6"/>
    <w:rsid w:val="00572293"/>
    <w:rsid w:val="00572E3E"/>
    <w:rsid w:val="00577ED3"/>
    <w:rsid w:val="00585DA2"/>
    <w:rsid w:val="005872B9"/>
    <w:rsid w:val="00590AEA"/>
    <w:rsid w:val="005911D3"/>
    <w:rsid w:val="00597AFB"/>
    <w:rsid w:val="00597D1C"/>
    <w:rsid w:val="005A17BF"/>
    <w:rsid w:val="005A260E"/>
    <w:rsid w:val="005A6E67"/>
    <w:rsid w:val="005B2266"/>
    <w:rsid w:val="005B4DB5"/>
    <w:rsid w:val="005B718F"/>
    <w:rsid w:val="005C05CD"/>
    <w:rsid w:val="005C37C2"/>
    <w:rsid w:val="005C6485"/>
    <w:rsid w:val="005D13D8"/>
    <w:rsid w:val="005D3389"/>
    <w:rsid w:val="005D5F14"/>
    <w:rsid w:val="005D7506"/>
    <w:rsid w:val="005E1A30"/>
    <w:rsid w:val="005E21B3"/>
    <w:rsid w:val="005E5E72"/>
    <w:rsid w:val="005E64D9"/>
    <w:rsid w:val="005F2AF4"/>
    <w:rsid w:val="005F56D8"/>
    <w:rsid w:val="005F7B8E"/>
    <w:rsid w:val="00602048"/>
    <w:rsid w:val="00614D41"/>
    <w:rsid w:val="00615A44"/>
    <w:rsid w:val="00622A17"/>
    <w:rsid w:val="00626888"/>
    <w:rsid w:val="006314FB"/>
    <w:rsid w:val="0063360E"/>
    <w:rsid w:val="006347A6"/>
    <w:rsid w:val="00635C62"/>
    <w:rsid w:val="0063647F"/>
    <w:rsid w:val="00641B11"/>
    <w:rsid w:val="006500BA"/>
    <w:rsid w:val="00661AA7"/>
    <w:rsid w:val="006641D2"/>
    <w:rsid w:val="00665A18"/>
    <w:rsid w:val="00671A75"/>
    <w:rsid w:val="00675038"/>
    <w:rsid w:val="00675590"/>
    <w:rsid w:val="00685684"/>
    <w:rsid w:val="00687727"/>
    <w:rsid w:val="0069179D"/>
    <w:rsid w:val="006923D4"/>
    <w:rsid w:val="006955FB"/>
    <w:rsid w:val="00697215"/>
    <w:rsid w:val="006A2FF2"/>
    <w:rsid w:val="006A7A2F"/>
    <w:rsid w:val="006B3185"/>
    <w:rsid w:val="006B4E3C"/>
    <w:rsid w:val="006D01D5"/>
    <w:rsid w:val="006D5AFB"/>
    <w:rsid w:val="006E022A"/>
    <w:rsid w:val="006F0D17"/>
    <w:rsid w:val="006F783A"/>
    <w:rsid w:val="006F7F01"/>
    <w:rsid w:val="00703634"/>
    <w:rsid w:val="00704AAC"/>
    <w:rsid w:val="00712CB9"/>
    <w:rsid w:val="00720517"/>
    <w:rsid w:val="00720B05"/>
    <w:rsid w:val="007233DD"/>
    <w:rsid w:val="00740C89"/>
    <w:rsid w:val="00743F1A"/>
    <w:rsid w:val="007458D5"/>
    <w:rsid w:val="007505A4"/>
    <w:rsid w:val="0075718C"/>
    <w:rsid w:val="00761C01"/>
    <w:rsid w:val="007621FC"/>
    <w:rsid w:val="00762E66"/>
    <w:rsid w:val="00764BAA"/>
    <w:rsid w:val="00770F07"/>
    <w:rsid w:val="00771EB4"/>
    <w:rsid w:val="00773051"/>
    <w:rsid w:val="00777367"/>
    <w:rsid w:val="00786DD8"/>
    <w:rsid w:val="00787CE6"/>
    <w:rsid w:val="00794B10"/>
    <w:rsid w:val="007A1D32"/>
    <w:rsid w:val="007A30B0"/>
    <w:rsid w:val="007A4090"/>
    <w:rsid w:val="007B1117"/>
    <w:rsid w:val="007B1993"/>
    <w:rsid w:val="007B20F9"/>
    <w:rsid w:val="007B4147"/>
    <w:rsid w:val="007B74A5"/>
    <w:rsid w:val="007B7697"/>
    <w:rsid w:val="007B78E7"/>
    <w:rsid w:val="007C1EAB"/>
    <w:rsid w:val="007C3207"/>
    <w:rsid w:val="007C79DB"/>
    <w:rsid w:val="007D13C1"/>
    <w:rsid w:val="007D7A87"/>
    <w:rsid w:val="007E34AE"/>
    <w:rsid w:val="007E4A1C"/>
    <w:rsid w:val="007E52A2"/>
    <w:rsid w:val="007E76BD"/>
    <w:rsid w:val="007F1FDB"/>
    <w:rsid w:val="00801838"/>
    <w:rsid w:val="00802BD0"/>
    <w:rsid w:val="00804971"/>
    <w:rsid w:val="00804F3A"/>
    <w:rsid w:val="00805416"/>
    <w:rsid w:val="008072D5"/>
    <w:rsid w:val="00810CF8"/>
    <w:rsid w:val="00817EB6"/>
    <w:rsid w:val="008208B2"/>
    <w:rsid w:val="008217F2"/>
    <w:rsid w:val="00821E0D"/>
    <w:rsid w:val="00826F14"/>
    <w:rsid w:val="008311F8"/>
    <w:rsid w:val="008316F8"/>
    <w:rsid w:val="00835B14"/>
    <w:rsid w:val="0083626D"/>
    <w:rsid w:val="008403DD"/>
    <w:rsid w:val="008453F4"/>
    <w:rsid w:val="00845869"/>
    <w:rsid w:val="00851DAA"/>
    <w:rsid w:val="00852D8F"/>
    <w:rsid w:val="0085529F"/>
    <w:rsid w:val="00857326"/>
    <w:rsid w:val="0086589B"/>
    <w:rsid w:val="008660EE"/>
    <w:rsid w:val="00870930"/>
    <w:rsid w:val="008724BC"/>
    <w:rsid w:val="0087645B"/>
    <w:rsid w:val="008768AA"/>
    <w:rsid w:val="00877EC0"/>
    <w:rsid w:val="00882C3B"/>
    <w:rsid w:val="00885D4D"/>
    <w:rsid w:val="008902E0"/>
    <w:rsid w:val="00895EBC"/>
    <w:rsid w:val="008A3198"/>
    <w:rsid w:val="008A4B5F"/>
    <w:rsid w:val="008A56D8"/>
    <w:rsid w:val="008A67BB"/>
    <w:rsid w:val="008A6868"/>
    <w:rsid w:val="008A6A6A"/>
    <w:rsid w:val="008B02F1"/>
    <w:rsid w:val="008B1EA1"/>
    <w:rsid w:val="008B37FB"/>
    <w:rsid w:val="008B509E"/>
    <w:rsid w:val="008B6FF2"/>
    <w:rsid w:val="008B7F09"/>
    <w:rsid w:val="008C39A0"/>
    <w:rsid w:val="008C4544"/>
    <w:rsid w:val="008C547C"/>
    <w:rsid w:val="008C6BAF"/>
    <w:rsid w:val="008D2430"/>
    <w:rsid w:val="008D37B9"/>
    <w:rsid w:val="008E1F73"/>
    <w:rsid w:val="008E389F"/>
    <w:rsid w:val="008E3FB5"/>
    <w:rsid w:val="008F3257"/>
    <w:rsid w:val="008F5D40"/>
    <w:rsid w:val="008F5FFF"/>
    <w:rsid w:val="0091296C"/>
    <w:rsid w:val="009141D4"/>
    <w:rsid w:val="00915D26"/>
    <w:rsid w:val="00916F4B"/>
    <w:rsid w:val="0091773C"/>
    <w:rsid w:val="00917FEC"/>
    <w:rsid w:val="00921B33"/>
    <w:rsid w:val="00922A4D"/>
    <w:rsid w:val="0092517F"/>
    <w:rsid w:val="00926881"/>
    <w:rsid w:val="00930C58"/>
    <w:rsid w:val="009344DC"/>
    <w:rsid w:val="009351FB"/>
    <w:rsid w:val="00935C12"/>
    <w:rsid w:val="0093655A"/>
    <w:rsid w:val="00937D21"/>
    <w:rsid w:val="009402D3"/>
    <w:rsid w:val="0094061C"/>
    <w:rsid w:val="00947CE4"/>
    <w:rsid w:val="00950B22"/>
    <w:rsid w:val="0095141E"/>
    <w:rsid w:val="009519E2"/>
    <w:rsid w:val="00952D3A"/>
    <w:rsid w:val="00952FCA"/>
    <w:rsid w:val="00954219"/>
    <w:rsid w:val="00954C5E"/>
    <w:rsid w:val="00961AD7"/>
    <w:rsid w:val="0096467A"/>
    <w:rsid w:val="00970806"/>
    <w:rsid w:val="00973DF0"/>
    <w:rsid w:val="0097577D"/>
    <w:rsid w:val="00975FB3"/>
    <w:rsid w:val="00976484"/>
    <w:rsid w:val="00980795"/>
    <w:rsid w:val="00981684"/>
    <w:rsid w:val="00981ADC"/>
    <w:rsid w:val="00983EED"/>
    <w:rsid w:val="00986B3A"/>
    <w:rsid w:val="0099369F"/>
    <w:rsid w:val="009959ED"/>
    <w:rsid w:val="009B25BA"/>
    <w:rsid w:val="009B72F6"/>
    <w:rsid w:val="009C6E37"/>
    <w:rsid w:val="009C70E3"/>
    <w:rsid w:val="009D4A35"/>
    <w:rsid w:val="009D5E3F"/>
    <w:rsid w:val="009E0370"/>
    <w:rsid w:val="009E1871"/>
    <w:rsid w:val="009E2CF3"/>
    <w:rsid w:val="009E61AE"/>
    <w:rsid w:val="009E7190"/>
    <w:rsid w:val="009F22C8"/>
    <w:rsid w:val="009F43B1"/>
    <w:rsid w:val="009F470C"/>
    <w:rsid w:val="00A00E9C"/>
    <w:rsid w:val="00A025DC"/>
    <w:rsid w:val="00A04766"/>
    <w:rsid w:val="00A0598C"/>
    <w:rsid w:val="00A122C9"/>
    <w:rsid w:val="00A1791F"/>
    <w:rsid w:val="00A23C2D"/>
    <w:rsid w:val="00A27283"/>
    <w:rsid w:val="00A325CD"/>
    <w:rsid w:val="00A329C6"/>
    <w:rsid w:val="00A33B5B"/>
    <w:rsid w:val="00A40CBB"/>
    <w:rsid w:val="00A42836"/>
    <w:rsid w:val="00A42D03"/>
    <w:rsid w:val="00A44183"/>
    <w:rsid w:val="00A46631"/>
    <w:rsid w:val="00A473E4"/>
    <w:rsid w:val="00A50AF7"/>
    <w:rsid w:val="00A53F0B"/>
    <w:rsid w:val="00A66C5C"/>
    <w:rsid w:val="00A732D4"/>
    <w:rsid w:val="00A7656F"/>
    <w:rsid w:val="00A77F96"/>
    <w:rsid w:val="00A80740"/>
    <w:rsid w:val="00A86FEF"/>
    <w:rsid w:val="00A941AC"/>
    <w:rsid w:val="00A9519B"/>
    <w:rsid w:val="00A9546A"/>
    <w:rsid w:val="00AA2FCF"/>
    <w:rsid w:val="00AA69BB"/>
    <w:rsid w:val="00AA6A41"/>
    <w:rsid w:val="00AA6AA0"/>
    <w:rsid w:val="00AA6F00"/>
    <w:rsid w:val="00AB003F"/>
    <w:rsid w:val="00AB2F25"/>
    <w:rsid w:val="00AB45C1"/>
    <w:rsid w:val="00AB5FF1"/>
    <w:rsid w:val="00AC3FC4"/>
    <w:rsid w:val="00AC77A7"/>
    <w:rsid w:val="00AD28EF"/>
    <w:rsid w:val="00AD39CA"/>
    <w:rsid w:val="00AE10E2"/>
    <w:rsid w:val="00AE3134"/>
    <w:rsid w:val="00AE5B07"/>
    <w:rsid w:val="00AE6BC6"/>
    <w:rsid w:val="00AE6ED1"/>
    <w:rsid w:val="00AE7E42"/>
    <w:rsid w:val="00AF077D"/>
    <w:rsid w:val="00AF1D10"/>
    <w:rsid w:val="00AF6E0B"/>
    <w:rsid w:val="00AF7851"/>
    <w:rsid w:val="00B03712"/>
    <w:rsid w:val="00B06592"/>
    <w:rsid w:val="00B14BDE"/>
    <w:rsid w:val="00B165BA"/>
    <w:rsid w:val="00B16A27"/>
    <w:rsid w:val="00B21758"/>
    <w:rsid w:val="00B237F8"/>
    <w:rsid w:val="00B33434"/>
    <w:rsid w:val="00B4235F"/>
    <w:rsid w:val="00B432F8"/>
    <w:rsid w:val="00B43BC0"/>
    <w:rsid w:val="00B4692A"/>
    <w:rsid w:val="00B52CFB"/>
    <w:rsid w:val="00B57364"/>
    <w:rsid w:val="00B60ABB"/>
    <w:rsid w:val="00B676D3"/>
    <w:rsid w:val="00B704D9"/>
    <w:rsid w:val="00B72412"/>
    <w:rsid w:val="00B7508E"/>
    <w:rsid w:val="00B75667"/>
    <w:rsid w:val="00B76F1A"/>
    <w:rsid w:val="00B77081"/>
    <w:rsid w:val="00B90E53"/>
    <w:rsid w:val="00B9617E"/>
    <w:rsid w:val="00B964B1"/>
    <w:rsid w:val="00B973D2"/>
    <w:rsid w:val="00BA1720"/>
    <w:rsid w:val="00BA7568"/>
    <w:rsid w:val="00BB03CF"/>
    <w:rsid w:val="00BB3D21"/>
    <w:rsid w:val="00BB58BC"/>
    <w:rsid w:val="00BB6D54"/>
    <w:rsid w:val="00BC23B0"/>
    <w:rsid w:val="00BD346E"/>
    <w:rsid w:val="00BD3ACE"/>
    <w:rsid w:val="00BD500D"/>
    <w:rsid w:val="00BE125C"/>
    <w:rsid w:val="00BE2253"/>
    <w:rsid w:val="00BE2820"/>
    <w:rsid w:val="00BE628B"/>
    <w:rsid w:val="00BF4683"/>
    <w:rsid w:val="00C01DD3"/>
    <w:rsid w:val="00C02CF9"/>
    <w:rsid w:val="00C02E02"/>
    <w:rsid w:val="00C05B4F"/>
    <w:rsid w:val="00C104E3"/>
    <w:rsid w:val="00C10511"/>
    <w:rsid w:val="00C12FFC"/>
    <w:rsid w:val="00C158CF"/>
    <w:rsid w:val="00C174C9"/>
    <w:rsid w:val="00C21270"/>
    <w:rsid w:val="00C22615"/>
    <w:rsid w:val="00C259FB"/>
    <w:rsid w:val="00C27106"/>
    <w:rsid w:val="00C27EB2"/>
    <w:rsid w:val="00C34A56"/>
    <w:rsid w:val="00C37827"/>
    <w:rsid w:val="00C52FFB"/>
    <w:rsid w:val="00C60E4E"/>
    <w:rsid w:val="00C64424"/>
    <w:rsid w:val="00C70F5F"/>
    <w:rsid w:val="00C75034"/>
    <w:rsid w:val="00C83A0E"/>
    <w:rsid w:val="00C91A4B"/>
    <w:rsid w:val="00C92C86"/>
    <w:rsid w:val="00CA0056"/>
    <w:rsid w:val="00CA0689"/>
    <w:rsid w:val="00CA2E05"/>
    <w:rsid w:val="00CA3F0D"/>
    <w:rsid w:val="00CA674C"/>
    <w:rsid w:val="00CB1FD2"/>
    <w:rsid w:val="00CB4933"/>
    <w:rsid w:val="00CC1E07"/>
    <w:rsid w:val="00CC4721"/>
    <w:rsid w:val="00CC5F40"/>
    <w:rsid w:val="00CD0B73"/>
    <w:rsid w:val="00CE1992"/>
    <w:rsid w:val="00CE4EC9"/>
    <w:rsid w:val="00CE5161"/>
    <w:rsid w:val="00CE5F9F"/>
    <w:rsid w:val="00CF20B9"/>
    <w:rsid w:val="00CF2F74"/>
    <w:rsid w:val="00CF37C8"/>
    <w:rsid w:val="00CF556C"/>
    <w:rsid w:val="00CF5F7A"/>
    <w:rsid w:val="00D04642"/>
    <w:rsid w:val="00D0559E"/>
    <w:rsid w:val="00D14459"/>
    <w:rsid w:val="00D16B47"/>
    <w:rsid w:val="00D16E99"/>
    <w:rsid w:val="00D16F61"/>
    <w:rsid w:val="00D17E19"/>
    <w:rsid w:val="00D23906"/>
    <w:rsid w:val="00D315DD"/>
    <w:rsid w:val="00D31AE8"/>
    <w:rsid w:val="00D32A0C"/>
    <w:rsid w:val="00D3638A"/>
    <w:rsid w:val="00D41D67"/>
    <w:rsid w:val="00D44A4B"/>
    <w:rsid w:val="00D64834"/>
    <w:rsid w:val="00D6507B"/>
    <w:rsid w:val="00D70F80"/>
    <w:rsid w:val="00D72039"/>
    <w:rsid w:val="00D72E99"/>
    <w:rsid w:val="00D73022"/>
    <w:rsid w:val="00D77568"/>
    <w:rsid w:val="00D77ACC"/>
    <w:rsid w:val="00D81540"/>
    <w:rsid w:val="00D91A8C"/>
    <w:rsid w:val="00D9285E"/>
    <w:rsid w:val="00D92AD8"/>
    <w:rsid w:val="00D94E9D"/>
    <w:rsid w:val="00D95179"/>
    <w:rsid w:val="00DA0299"/>
    <w:rsid w:val="00DA0FA2"/>
    <w:rsid w:val="00DA2B88"/>
    <w:rsid w:val="00DA4121"/>
    <w:rsid w:val="00DA52A8"/>
    <w:rsid w:val="00DA69D4"/>
    <w:rsid w:val="00DB5261"/>
    <w:rsid w:val="00DB6ADF"/>
    <w:rsid w:val="00DB73BA"/>
    <w:rsid w:val="00DB75A5"/>
    <w:rsid w:val="00DB78EA"/>
    <w:rsid w:val="00DC1FA7"/>
    <w:rsid w:val="00DC2BE2"/>
    <w:rsid w:val="00DC550A"/>
    <w:rsid w:val="00DD0353"/>
    <w:rsid w:val="00DD1D33"/>
    <w:rsid w:val="00DD341A"/>
    <w:rsid w:val="00DD3CAA"/>
    <w:rsid w:val="00DD4D87"/>
    <w:rsid w:val="00DE1D2C"/>
    <w:rsid w:val="00DE3C5E"/>
    <w:rsid w:val="00DE4087"/>
    <w:rsid w:val="00DF262B"/>
    <w:rsid w:val="00DF2D3B"/>
    <w:rsid w:val="00DF5140"/>
    <w:rsid w:val="00DF5C4B"/>
    <w:rsid w:val="00E00169"/>
    <w:rsid w:val="00E071EA"/>
    <w:rsid w:val="00E15819"/>
    <w:rsid w:val="00E20FC6"/>
    <w:rsid w:val="00E22929"/>
    <w:rsid w:val="00E241C1"/>
    <w:rsid w:val="00E2592D"/>
    <w:rsid w:val="00E324B8"/>
    <w:rsid w:val="00E32CBA"/>
    <w:rsid w:val="00E357D8"/>
    <w:rsid w:val="00E3681B"/>
    <w:rsid w:val="00E373A2"/>
    <w:rsid w:val="00E40D76"/>
    <w:rsid w:val="00E5059D"/>
    <w:rsid w:val="00E50FB4"/>
    <w:rsid w:val="00E52A4B"/>
    <w:rsid w:val="00E5552C"/>
    <w:rsid w:val="00E55706"/>
    <w:rsid w:val="00E60A36"/>
    <w:rsid w:val="00E61BA8"/>
    <w:rsid w:val="00E638A1"/>
    <w:rsid w:val="00E7215D"/>
    <w:rsid w:val="00E73372"/>
    <w:rsid w:val="00E73A18"/>
    <w:rsid w:val="00E7550E"/>
    <w:rsid w:val="00E811B4"/>
    <w:rsid w:val="00E8206D"/>
    <w:rsid w:val="00E90FD4"/>
    <w:rsid w:val="00E91DCD"/>
    <w:rsid w:val="00E94CC1"/>
    <w:rsid w:val="00E96681"/>
    <w:rsid w:val="00E967F0"/>
    <w:rsid w:val="00EA0214"/>
    <w:rsid w:val="00EA178A"/>
    <w:rsid w:val="00EA3FA5"/>
    <w:rsid w:val="00EA4B2B"/>
    <w:rsid w:val="00EA4C46"/>
    <w:rsid w:val="00EA5D47"/>
    <w:rsid w:val="00EA728A"/>
    <w:rsid w:val="00EB125E"/>
    <w:rsid w:val="00EB45DA"/>
    <w:rsid w:val="00EB63B7"/>
    <w:rsid w:val="00EB6A29"/>
    <w:rsid w:val="00EB7094"/>
    <w:rsid w:val="00EC2E4A"/>
    <w:rsid w:val="00EC3BB6"/>
    <w:rsid w:val="00EE0469"/>
    <w:rsid w:val="00EE5EAB"/>
    <w:rsid w:val="00EF0A1C"/>
    <w:rsid w:val="00EF2019"/>
    <w:rsid w:val="00EF241F"/>
    <w:rsid w:val="00EF34A6"/>
    <w:rsid w:val="00F03526"/>
    <w:rsid w:val="00F050A9"/>
    <w:rsid w:val="00F0584A"/>
    <w:rsid w:val="00F06259"/>
    <w:rsid w:val="00F13584"/>
    <w:rsid w:val="00F15180"/>
    <w:rsid w:val="00F171E7"/>
    <w:rsid w:val="00F21AA5"/>
    <w:rsid w:val="00F238DE"/>
    <w:rsid w:val="00F23BAE"/>
    <w:rsid w:val="00F27B24"/>
    <w:rsid w:val="00F35D59"/>
    <w:rsid w:val="00F400D4"/>
    <w:rsid w:val="00F425CC"/>
    <w:rsid w:val="00F470E6"/>
    <w:rsid w:val="00F527E1"/>
    <w:rsid w:val="00F561DB"/>
    <w:rsid w:val="00F61CE2"/>
    <w:rsid w:val="00F632C7"/>
    <w:rsid w:val="00F642F8"/>
    <w:rsid w:val="00F65509"/>
    <w:rsid w:val="00F65ECE"/>
    <w:rsid w:val="00F6704D"/>
    <w:rsid w:val="00F7180E"/>
    <w:rsid w:val="00F80562"/>
    <w:rsid w:val="00F81EB4"/>
    <w:rsid w:val="00F81F9B"/>
    <w:rsid w:val="00F84CB2"/>
    <w:rsid w:val="00F861F8"/>
    <w:rsid w:val="00F90720"/>
    <w:rsid w:val="00F93071"/>
    <w:rsid w:val="00F94034"/>
    <w:rsid w:val="00FA0E9B"/>
    <w:rsid w:val="00FA34C7"/>
    <w:rsid w:val="00FA4086"/>
    <w:rsid w:val="00FA61E5"/>
    <w:rsid w:val="00FB224C"/>
    <w:rsid w:val="00FB4865"/>
    <w:rsid w:val="00FB4EC4"/>
    <w:rsid w:val="00FC0E9E"/>
    <w:rsid w:val="00FC13EB"/>
    <w:rsid w:val="00FC146C"/>
    <w:rsid w:val="00FC3023"/>
    <w:rsid w:val="00FD391B"/>
    <w:rsid w:val="00FD4EDF"/>
    <w:rsid w:val="00FD5A3B"/>
    <w:rsid w:val="00FD7A8B"/>
    <w:rsid w:val="00FE52EB"/>
    <w:rsid w:val="0657139B"/>
    <w:rsid w:val="29A01576"/>
    <w:rsid w:val="3EBB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qFormat="1" w:uiPriority="99" w:semiHidden="0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43"/>
    <w:qFormat/>
    <w:uiPriority w:val="9"/>
    <w:pPr>
      <w:keepNext/>
      <w:keepLines/>
      <w:numPr>
        <w:ilvl w:val="0"/>
        <w:numId w:val="1"/>
      </w:numPr>
      <w:spacing w:line="360" w:lineRule="auto"/>
      <w:outlineLvl w:val="0"/>
    </w:pPr>
    <w:rPr>
      <w:rFonts w:asciiTheme="minorEastAsia" w:hAnsiTheme="minorEastAsia"/>
      <w:kern w:val="44"/>
      <w:sz w:val="44"/>
      <w:szCs w:val="44"/>
    </w:rPr>
  </w:style>
  <w:style w:type="paragraph" w:styleId="3">
    <w:name w:val="heading 2"/>
    <w:basedOn w:val="1"/>
    <w:next w:val="1"/>
    <w:link w:val="44"/>
    <w:unhideWhenUsed/>
    <w:qFormat/>
    <w:uiPriority w:val="9"/>
    <w:pPr>
      <w:keepNext/>
      <w:keepLines/>
      <w:numPr>
        <w:ilvl w:val="1"/>
        <w:numId w:val="1"/>
      </w:numPr>
      <w:spacing w:line="360" w:lineRule="auto"/>
      <w:jc w:val="left"/>
      <w:outlineLvl w:val="1"/>
    </w:pPr>
    <w:rPr>
      <w:rFonts w:asciiTheme="minorEastAsia" w:hAnsiTheme="min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45"/>
    <w:unhideWhenUsed/>
    <w:qFormat/>
    <w:uiPriority w:val="9"/>
    <w:pPr>
      <w:keepNext/>
      <w:keepLines/>
      <w:numPr>
        <w:ilvl w:val="2"/>
        <w:numId w:val="1"/>
      </w:numPr>
      <w:spacing w:line="360" w:lineRule="auto"/>
      <w:outlineLvl w:val="2"/>
    </w:pPr>
    <w:rPr>
      <w:rFonts w:asciiTheme="minorEastAsia" w:hAnsiTheme="minorEastAsia"/>
      <w:b/>
      <w:bCs/>
      <w:sz w:val="28"/>
      <w:szCs w:val="32"/>
    </w:rPr>
  </w:style>
  <w:style w:type="paragraph" w:styleId="5">
    <w:name w:val="heading 4"/>
    <w:basedOn w:val="1"/>
    <w:next w:val="1"/>
    <w:link w:val="4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7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8"/>
    <w:unhideWhenUsed/>
    <w:qFormat/>
    <w:uiPriority w:val="9"/>
    <w:pPr>
      <w:keepNext/>
      <w:keepLines/>
      <w:widowControl/>
      <w:spacing w:before="240" w:after="64" w:line="320" w:lineRule="auto"/>
      <w:ind w:left="1152" w:hanging="1152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9"/>
    <w:unhideWhenUsed/>
    <w:qFormat/>
    <w:uiPriority w:val="9"/>
    <w:pPr>
      <w:keepNext/>
      <w:keepLines/>
      <w:widowControl/>
      <w:spacing w:before="240" w:after="64" w:line="320" w:lineRule="auto"/>
      <w:ind w:left="1296" w:hanging="1296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50"/>
    <w:unhideWhenUsed/>
    <w:qFormat/>
    <w:uiPriority w:val="9"/>
    <w:pPr>
      <w:keepNext/>
      <w:keepLines/>
      <w:widowControl/>
      <w:spacing w:before="240" w:after="64" w:line="320" w:lineRule="auto"/>
      <w:ind w:left="1440" w:hanging="1440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51"/>
    <w:unhideWhenUsed/>
    <w:qFormat/>
    <w:uiPriority w:val="9"/>
    <w:pPr>
      <w:keepNext/>
      <w:keepLines/>
      <w:widowControl/>
      <w:spacing w:before="240" w:after="64" w:line="320" w:lineRule="auto"/>
      <w:ind w:left="1584" w:hanging="1584"/>
      <w:outlineLvl w:val="8"/>
    </w:pPr>
    <w:rPr>
      <w:rFonts w:asciiTheme="majorHAnsi" w:hAnsiTheme="majorHAnsi" w:eastAsiaTheme="majorEastAsia" w:cstheme="majorBidi"/>
      <w:sz w:val="24"/>
      <w:szCs w:val="21"/>
    </w:rPr>
  </w:style>
  <w:style w:type="character" w:default="1" w:styleId="35">
    <w:name w:val="Default Paragraph Font"/>
    <w:semiHidden/>
    <w:unhideWhenUsed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qFormat/>
    <w:uiPriority w:val="0"/>
    <w:pPr>
      <w:numPr>
        <w:ilvl w:val="2"/>
        <w:numId w:val="2"/>
      </w:numPr>
    </w:pPr>
    <w:rPr>
      <w:rFonts w:ascii="Times New Roman" w:hAnsi="Times New Roman" w:eastAsia="宋体" w:cs="Times New Roman"/>
      <w:sz w:val="24"/>
      <w:szCs w:val="24"/>
    </w:rPr>
  </w:style>
  <w:style w:type="paragraph" w:styleId="12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3">
    <w:name w:val="List Bullet 4"/>
    <w:basedOn w:val="1"/>
    <w:unhideWhenUsed/>
    <w:qFormat/>
    <w:uiPriority w:val="99"/>
    <w:pPr>
      <w:numPr>
        <w:ilvl w:val="0"/>
        <w:numId w:val="3"/>
      </w:numPr>
      <w:spacing w:line="312" w:lineRule="auto"/>
      <w:ind w:left="800" w:leftChars="800" w:hanging="200" w:hangingChars="200"/>
      <w:contextualSpacing/>
    </w:pPr>
    <w:rPr>
      <w:rFonts w:ascii="Times New Roman" w:hAnsi="Times New Roman" w:eastAsia="宋体" w:cs="Times New Roman"/>
      <w:szCs w:val="24"/>
    </w:rPr>
  </w:style>
  <w:style w:type="paragraph" w:styleId="14">
    <w:name w:val="Normal Indent"/>
    <w:basedOn w:val="1"/>
    <w:link w:val="59"/>
    <w:qFormat/>
    <w:uiPriority w:val="0"/>
    <w:rPr>
      <w:rFonts w:ascii="Times New Roman" w:hAnsi="Times New Roman" w:eastAsia="宋体" w:cs="Times New Roman"/>
      <w:szCs w:val="20"/>
    </w:rPr>
  </w:style>
  <w:style w:type="paragraph" w:styleId="15">
    <w:name w:val="caption"/>
    <w:basedOn w:val="1"/>
    <w:next w:val="1"/>
    <w:link w:val="60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6">
    <w:name w:val="Document Map"/>
    <w:basedOn w:val="1"/>
    <w:link w:val="53"/>
    <w:qFormat/>
    <w:uiPriority w:val="99"/>
    <w:pPr>
      <w:spacing w:before="120" w:after="120" w:line="360" w:lineRule="auto"/>
    </w:pPr>
    <w:rPr>
      <w:rFonts w:ascii="宋体" w:hAnsi="Times New Roman" w:eastAsia="宋体" w:cs="Times New Roman"/>
      <w:sz w:val="18"/>
      <w:szCs w:val="18"/>
    </w:rPr>
  </w:style>
  <w:style w:type="paragraph" w:styleId="17">
    <w:name w:val="annotation text"/>
    <w:basedOn w:val="1"/>
    <w:link w:val="54"/>
    <w:unhideWhenUsed/>
    <w:qFormat/>
    <w:uiPriority w:val="0"/>
    <w:pPr>
      <w:jc w:val="left"/>
    </w:pPr>
  </w:style>
  <w:style w:type="paragraph" w:styleId="18">
    <w:name w:val="Body Text Indent"/>
    <w:basedOn w:val="1"/>
    <w:next w:val="1"/>
    <w:link w:val="55"/>
    <w:qFormat/>
    <w:uiPriority w:val="0"/>
    <w:pPr>
      <w:ind w:left="78" w:leftChars="37" w:firstLine="487" w:firstLineChars="203"/>
    </w:pPr>
    <w:rPr>
      <w:kern w:val="0"/>
    </w:rPr>
  </w:style>
  <w:style w:type="paragraph" w:styleId="19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2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21">
    <w:name w:val="Plain Text"/>
    <w:basedOn w:val="1"/>
    <w:link w:val="56"/>
    <w:qFormat/>
    <w:uiPriority w:val="0"/>
    <w:pPr>
      <w:spacing w:beforeLines="50" w:afterLines="50" w:line="360" w:lineRule="auto"/>
      <w:ind w:firstLine="480" w:firstLineChars="200"/>
    </w:pPr>
    <w:rPr>
      <w:rFonts w:ascii="Times New Roman" w:hAnsi="Times New Roman" w:eastAsia="宋体" w:cs="Times New Roman"/>
      <w:kern w:val="0"/>
      <w:sz w:val="24"/>
      <w:szCs w:val="24"/>
      <w:lang w:val="zh-CN"/>
    </w:rPr>
  </w:style>
  <w:style w:type="paragraph" w:styleId="22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23">
    <w:name w:val="Balloon Text"/>
    <w:basedOn w:val="1"/>
    <w:link w:val="57"/>
    <w:unhideWhenUsed/>
    <w:qFormat/>
    <w:uiPriority w:val="99"/>
    <w:rPr>
      <w:sz w:val="18"/>
      <w:szCs w:val="18"/>
    </w:rPr>
  </w:style>
  <w:style w:type="paragraph" w:styleId="24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6">
    <w:name w:val="toc 1"/>
    <w:basedOn w:val="1"/>
    <w:next w:val="1"/>
    <w:unhideWhenUsed/>
    <w:qFormat/>
    <w:uiPriority w:val="39"/>
  </w:style>
  <w:style w:type="paragraph" w:styleId="27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2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30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31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paragraph" w:styleId="32">
    <w:name w:val="annotation subject"/>
    <w:basedOn w:val="17"/>
    <w:next w:val="17"/>
    <w:link w:val="58"/>
    <w:semiHidden/>
    <w:unhideWhenUsed/>
    <w:qFormat/>
    <w:uiPriority w:val="99"/>
    <w:rPr>
      <w:b/>
      <w:bCs/>
    </w:rPr>
  </w:style>
  <w:style w:type="table" w:styleId="34">
    <w:name w:val="Table Grid"/>
    <w:basedOn w:val="33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Strong"/>
    <w:basedOn w:val="35"/>
    <w:qFormat/>
    <w:uiPriority w:val="22"/>
    <w:rPr>
      <w:b/>
      <w:bCs/>
    </w:rPr>
  </w:style>
  <w:style w:type="character" w:styleId="37">
    <w:name w:val="FollowedHyperlink"/>
    <w:basedOn w:val="3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38">
    <w:name w:val="Hyperlink"/>
    <w:basedOn w:val="3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9">
    <w:name w:val="HTML Code"/>
    <w:basedOn w:val="35"/>
    <w:semiHidden/>
    <w:unhideWhenUsed/>
    <w:uiPriority w:val="99"/>
    <w:rPr>
      <w:rFonts w:ascii="宋体" w:hAnsi="宋体" w:eastAsia="宋体" w:cs="宋体"/>
      <w:sz w:val="24"/>
      <w:szCs w:val="24"/>
    </w:rPr>
  </w:style>
  <w:style w:type="character" w:styleId="40">
    <w:name w:val="annotation reference"/>
    <w:basedOn w:val="35"/>
    <w:unhideWhenUsed/>
    <w:qFormat/>
    <w:uiPriority w:val="0"/>
    <w:rPr>
      <w:sz w:val="21"/>
      <w:szCs w:val="21"/>
    </w:rPr>
  </w:style>
  <w:style w:type="character" w:customStyle="1" w:styleId="41">
    <w:name w:val="页眉 字符"/>
    <w:basedOn w:val="35"/>
    <w:link w:val="25"/>
    <w:qFormat/>
    <w:uiPriority w:val="99"/>
    <w:rPr>
      <w:sz w:val="18"/>
      <w:szCs w:val="18"/>
    </w:rPr>
  </w:style>
  <w:style w:type="character" w:customStyle="1" w:styleId="42">
    <w:name w:val="页脚 字符"/>
    <w:basedOn w:val="35"/>
    <w:link w:val="24"/>
    <w:qFormat/>
    <w:uiPriority w:val="99"/>
    <w:rPr>
      <w:sz w:val="18"/>
      <w:szCs w:val="18"/>
    </w:rPr>
  </w:style>
  <w:style w:type="character" w:customStyle="1" w:styleId="43">
    <w:name w:val="标题 1 字符"/>
    <w:basedOn w:val="35"/>
    <w:link w:val="2"/>
    <w:qFormat/>
    <w:uiPriority w:val="0"/>
    <w:rPr>
      <w:rFonts w:asciiTheme="minorEastAsia" w:hAnsiTheme="minorEastAsia"/>
      <w:kern w:val="44"/>
      <w:sz w:val="44"/>
      <w:szCs w:val="44"/>
    </w:rPr>
  </w:style>
  <w:style w:type="character" w:customStyle="1" w:styleId="44">
    <w:name w:val="标题 2 字符"/>
    <w:basedOn w:val="35"/>
    <w:link w:val="3"/>
    <w:qFormat/>
    <w:uiPriority w:val="9"/>
    <w:rPr>
      <w:rFonts w:asciiTheme="minorEastAsia" w:hAnsiTheme="minorEastAsia" w:cstheme="majorBidi"/>
      <w:b/>
      <w:bCs/>
      <w:sz w:val="32"/>
      <w:szCs w:val="32"/>
    </w:rPr>
  </w:style>
  <w:style w:type="character" w:customStyle="1" w:styleId="45">
    <w:name w:val="标题 3 字符"/>
    <w:basedOn w:val="35"/>
    <w:link w:val="4"/>
    <w:qFormat/>
    <w:uiPriority w:val="0"/>
    <w:rPr>
      <w:rFonts w:asciiTheme="minorEastAsia" w:hAnsiTheme="minorEastAsia"/>
      <w:b/>
      <w:bCs/>
      <w:sz w:val="28"/>
      <w:szCs w:val="32"/>
    </w:rPr>
  </w:style>
  <w:style w:type="character" w:customStyle="1" w:styleId="46">
    <w:name w:val="标题 4 字符"/>
    <w:basedOn w:val="35"/>
    <w:link w:val="5"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47">
    <w:name w:val="标题 5 字符"/>
    <w:basedOn w:val="35"/>
    <w:link w:val="6"/>
    <w:qFormat/>
    <w:uiPriority w:val="0"/>
    <w:rPr>
      <w:b/>
      <w:bCs/>
      <w:sz w:val="28"/>
      <w:szCs w:val="28"/>
    </w:rPr>
  </w:style>
  <w:style w:type="character" w:customStyle="1" w:styleId="48">
    <w:name w:val="标题 6 字符"/>
    <w:basedOn w:val="35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9">
    <w:name w:val="标题 7 字符"/>
    <w:basedOn w:val="35"/>
    <w:link w:val="8"/>
    <w:semiHidden/>
    <w:qFormat/>
    <w:uiPriority w:val="9"/>
    <w:rPr>
      <w:b/>
      <w:bCs/>
      <w:sz w:val="24"/>
      <w:szCs w:val="24"/>
    </w:rPr>
  </w:style>
  <w:style w:type="character" w:customStyle="1" w:styleId="50">
    <w:name w:val="标题 8 字符"/>
    <w:basedOn w:val="35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51">
    <w:name w:val="标题 9 字符"/>
    <w:basedOn w:val="35"/>
    <w:link w:val="10"/>
    <w:semiHidden/>
    <w:qFormat/>
    <w:uiPriority w:val="9"/>
    <w:rPr>
      <w:rFonts w:asciiTheme="majorHAnsi" w:hAnsiTheme="majorHAnsi" w:eastAsiaTheme="majorEastAsia" w:cstheme="majorBidi"/>
      <w:sz w:val="24"/>
      <w:szCs w:val="21"/>
    </w:rPr>
  </w:style>
  <w:style w:type="paragraph" w:customStyle="1" w:styleId="52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color w:val="000000"/>
      <w:kern w:val="0"/>
    </w:rPr>
  </w:style>
  <w:style w:type="character" w:customStyle="1" w:styleId="53">
    <w:name w:val="文档结构图 字符"/>
    <w:basedOn w:val="35"/>
    <w:link w:val="16"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54">
    <w:name w:val="批注文字 字符"/>
    <w:basedOn w:val="35"/>
    <w:link w:val="17"/>
    <w:qFormat/>
    <w:uiPriority w:val="0"/>
  </w:style>
  <w:style w:type="character" w:customStyle="1" w:styleId="55">
    <w:name w:val="正文文本缩进 字符"/>
    <w:basedOn w:val="35"/>
    <w:link w:val="18"/>
    <w:uiPriority w:val="0"/>
    <w:rPr>
      <w:kern w:val="0"/>
    </w:rPr>
  </w:style>
  <w:style w:type="character" w:customStyle="1" w:styleId="56">
    <w:name w:val="纯文本 字符"/>
    <w:basedOn w:val="35"/>
    <w:link w:val="21"/>
    <w:qFormat/>
    <w:uiPriority w:val="0"/>
    <w:rPr>
      <w:rFonts w:ascii="Times New Roman" w:hAnsi="Times New Roman" w:eastAsia="宋体" w:cs="Times New Roman"/>
      <w:kern w:val="0"/>
      <w:sz w:val="24"/>
      <w:szCs w:val="24"/>
      <w:lang w:val="zh-CN"/>
    </w:rPr>
  </w:style>
  <w:style w:type="character" w:customStyle="1" w:styleId="57">
    <w:name w:val="批注框文本 字符"/>
    <w:basedOn w:val="35"/>
    <w:link w:val="23"/>
    <w:qFormat/>
    <w:uiPriority w:val="99"/>
    <w:rPr>
      <w:sz w:val="18"/>
      <w:szCs w:val="18"/>
    </w:rPr>
  </w:style>
  <w:style w:type="character" w:customStyle="1" w:styleId="58">
    <w:name w:val="批注主题 字符"/>
    <w:basedOn w:val="54"/>
    <w:link w:val="32"/>
    <w:semiHidden/>
    <w:qFormat/>
    <w:uiPriority w:val="99"/>
    <w:rPr>
      <w:b/>
      <w:bCs/>
    </w:rPr>
  </w:style>
  <w:style w:type="character" w:customStyle="1" w:styleId="59">
    <w:name w:val="正文缩进 字符"/>
    <w:link w:val="1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60">
    <w:name w:val="题注 字符"/>
    <w:link w:val="15"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61">
    <w:name w:val="No Spacing"/>
    <w:qFormat/>
    <w:uiPriority w:val="1"/>
    <w:pPr>
      <w:widowControl w:val="0"/>
      <w:spacing w:line="360" w:lineRule="auto"/>
      <w:jc w:val="both"/>
    </w:pPr>
    <w:rPr>
      <w:rFonts w:asciiTheme="minorEastAsia" w:hAnsiTheme="minorEastAsia" w:eastAsiaTheme="minorEastAsia" w:cstheme="minorBidi"/>
      <w:kern w:val="2"/>
      <w:sz w:val="24"/>
      <w:szCs w:val="22"/>
      <w:lang w:val="en-US" w:eastAsia="zh-CN" w:bidi="ar-SA"/>
      <w14:ligatures w14:val="standardContextual"/>
    </w:rPr>
  </w:style>
  <w:style w:type="paragraph" w:styleId="62">
    <w:name w:val="List Paragraph"/>
    <w:basedOn w:val="1"/>
    <w:link w:val="63"/>
    <w:qFormat/>
    <w:uiPriority w:val="0"/>
    <w:pPr>
      <w:ind w:firstLine="420" w:firstLineChars="200"/>
    </w:pPr>
  </w:style>
  <w:style w:type="character" w:customStyle="1" w:styleId="63">
    <w:name w:val="列表段落 字符"/>
    <w:link w:val="62"/>
    <w:qFormat/>
    <w:locked/>
    <w:uiPriority w:val="0"/>
  </w:style>
  <w:style w:type="paragraph" w:customStyle="1" w:styleId="64">
    <w:name w:val="**正文"/>
    <w:basedOn w:val="1"/>
    <w:link w:val="65"/>
    <w:qFormat/>
    <w:uiPriority w:val="0"/>
    <w:pPr>
      <w:spacing w:line="360" w:lineRule="auto"/>
      <w:ind w:firstLine="482"/>
    </w:pPr>
    <w:rPr>
      <w:rFonts w:ascii="宋体" w:hAnsi="宋体" w:eastAsia="宋体" w:cs="Times New Roman"/>
      <w:sz w:val="24"/>
      <w:szCs w:val="24"/>
    </w:rPr>
  </w:style>
  <w:style w:type="character" w:customStyle="1" w:styleId="65">
    <w:name w:val="**正文 Char"/>
    <w:link w:val="64"/>
    <w:qFormat/>
    <w:uiPriority w:val="0"/>
    <w:rPr>
      <w:rFonts w:ascii="宋体" w:hAnsi="宋体" w:eastAsia="宋体" w:cs="Times New Roman"/>
      <w:sz w:val="24"/>
      <w:szCs w:val="24"/>
    </w:rPr>
  </w:style>
  <w:style w:type="paragraph" w:customStyle="1" w:styleId="66">
    <w:name w:val="1.1.1.1"/>
    <w:basedOn w:val="5"/>
    <w:link w:val="67"/>
    <w:qFormat/>
    <w:uiPriority w:val="0"/>
    <w:pPr>
      <w:spacing w:line="377" w:lineRule="auto"/>
    </w:pPr>
    <w:rPr>
      <w:b w:val="0"/>
    </w:rPr>
  </w:style>
  <w:style w:type="character" w:customStyle="1" w:styleId="67">
    <w:name w:val="1.1.1.1 Char"/>
    <w:basedOn w:val="35"/>
    <w:link w:val="66"/>
    <w:qFormat/>
    <w:uiPriority w:val="0"/>
    <w:rPr>
      <w:rFonts w:asciiTheme="majorHAnsi" w:hAnsiTheme="majorHAnsi" w:eastAsiaTheme="majorEastAsia" w:cstheme="majorBidi"/>
      <w:bCs/>
      <w:sz w:val="28"/>
      <w:szCs w:val="28"/>
    </w:rPr>
  </w:style>
  <w:style w:type="character" w:customStyle="1" w:styleId="68">
    <w:name w:val="列出段落 Char"/>
    <w:qFormat/>
    <w:locked/>
    <w:uiPriority w:val="34"/>
    <w:rPr>
      <w:sz w:val="24"/>
    </w:rPr>
  </w:style>
  <w:style w:type="paragraph" w:customStyle="1" w:styleId="69">
    <w:name w:val="表格正文"/>
    <w:basedOn w:val="1"/>
    <w:qFormat/>
    <w:uiPriority w:val="0"/>
    <w:pPr>
      <w:snapToGrid w:val="0"/>
      <w:jc w:val="center"/>
    </w:pPr>
    <w:rPr>
      <w:rFonts w:ascii="Calibri" w:hAnsi="Calibri" w:eastAsia="宋体" w:cs="Times New Roman"/>
      <w:bCs/>
      <w:color w:val="000000"/>
    </w:rPr>
  </w:style>
  <w:style w:type="paragraph" w:customStyle="1" w:styleId="70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/>
      <w:bCs/>
      <w:color w:val="2F5597" w:themeColor="accent1" w:themeShade="BF"/>
      <w:kern w:val="0"/>
      <w:sz w:val="32"/>
      <w:szCs w:val="32"/>
    </w:rPr>
  </w:style>
  <w:style w:type="paragraph" w:customStyle="1" w:styleId="71">
    <w:name w:val="WBS 2"/>
    <w:basedOn w:val="1"/>
    <w:semiHidden/>
    <w:qFormat/>
    <w:uiPriority w:val="0"/>
    <w:pPr>
      <w:numPr>
        <w:ilvl w:val="1"/>
        <w:numId w:val="4"/>
      </w:numPr>
      <w:ind w:firstLine="0"/>
    </w:pPr>
    <w:rPr>
      <w:rFonts w:ascii="Times New Roman" w:hAnsi="Times New Roman" w:eastAsia="宋体" w:cs="Times New Roman"/>
      <w:szCs w:val="20"/>
    </w:rPr>
  </w:style>
  <w:style w:type="paragraph" w:customStyle="1" w:styleId="72">
    <w:name w:val="一级标题"/>
    <w:basedOn w:val="1"/>
    <w:qFormat/>
    <w:uiPriority w:val="0"/>
    <w:pPr>
      <w:numPr>
        <w:ilvl w:val="0"/>
        <w:numId w:val="5"/>
      </w:numPr>
    </w:pPr>
    <w:rPr>
      <w:rFonts w:ascii="Times New Roman" w:hAnsi="Times New Roman" w:eastAsia="宋体" w:cs="Times New Roman"/>
      <w:kern w:val="44"/>
      <w:sz w:val="44"/>
      <w:szCs w:val="44"/>
    </w:rPr>
  </w:style>
  <w:style w:type="character" w:customStyle="1" w:styleId="73">
    <w:name w:val="未处理的提及1"/>
    <w:basedOn w:val="35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74">
    <w:name w:val="网格型1"/>
    <w:basedOn w:val="3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5">
    <w:name w:val="L-表格样式"/>
    <w:basedOn w:val="1"/>
    <w:qFormat/>
    <w:uiPriority w:val="0"/>
    <w:pPr>
      <w:ind w:firstLine="200"/>
      <w:jc w:val="left"/>
    </w:pPr>
    <w:rPr>
      <w:szCs w:val="21"/>
    </w:rPr>
  </w:style>
  <w:style w:type="paragraph" w:customStyle="1" w:styleId="7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77">
    <w:name w:val="未处理的提及2"/>
    <w:basedOn w:val="3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8">
    <w:name w:val="正文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79">
    <w:name w:val="未处理的提及3"/>
    <w:basedOn w:val="3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80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81">
    <w:name w:val="未处理的提及4"/>
    <w:basedOn w:val="3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82">
    <w:name w:val="T表格"/>
    <w:basedOn w:val="1"/>
    <w:qFormat/>
    <w:uiPriority w:val="0"/>
    <w:pPr>
      <w:adjustRightInd w:val="0"/>
      <w:spacing w:beforeLines="50" w:afterLines="50" w:line="360" w:lineRule="auto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83">
    <w:name w:val="1正文"/>
    <w:basedOn w:val="1"/>
    <w:qFormat/>
    <w:uiPriority w:val="0"/>
    <w:pPr>
      <w:spacing w:line="360" w:lineRule="auto"/>
    </w:pPr>
    <w:rPr>
      <w:rFonts w:ascii="宋体" w:hAnsi="宋体" w:eastAsia="宋体" w:cs="宋体"/>
      <w:bCs/>
      <w:color w:val="000000"/>
      <w:kern w:val="0"/>
      <w:sz w:val="24"/>
      <w:szCs w:val="24"/>
    </w:rPr>
  </w:style>
  <w:style w:type="character" w:customStyle="1" w:styleId="84">
    <w:name w:val="未处理的提及5"/>
    <w:basedOn w:val="3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5">
    <w:name w:val="未处理的提及6"/>
    <w:basedOn w:val="3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6">
    <w:name w:val="未处理的提及7"/>
    <w:basedOn w:val="3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7">
    <w:name w:val="未处理的提及8"/>
    <w:basedOn w:val="3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88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89">
    <w:name w:val="列表段落 字符1"/>
    <w:qFormat/>
    <w:locked/>
    <w:uiPriority w:val="0"/>
    <w:rPr>
      <w:rFonts w:ascii="Calibri" w:hAnsi="Calibri" w:eastAsia="宋体" w:cs="Times New Roman"/>
    </w:rPr>
  </w:style>
  <w:style w:type="paragraph" w:customStyle="1" w:styleId="90">
    <w:name w:val="*T正文-图片"/>
    <w:basedOn w:val="1"/>
    <w:link w:val="93"/>
    <w:autoRedefine/>
    <w:qFormat/>
    <w:uiPriority w:val="0"/>
    <w:pPr>
      <w:widowControl/>
      <w:spacing w:line="360" w:lineRule="auto"/>
      <w:jc w:val="center"/>
    </w:pPr>
    <w:rPr>
      <w:rFonts w:eastAsia="宋体" w:cs="宋体" w:asciiTheme="minorEastAsia" w:hAnsiTheme="minorEastAsia"/>
      <w:b/>
      <w:bCs/>
      <w:kern w:val="0"/>
      <w:sz w:val="24"/>
      <w:szCs w:val="21"/>
      <w14:ligatures w14:val="none"/>
    </w:rPr>
  </w:style>
  <w:style w:type="paragraph" w:customStyle="1" w:styleId="91">
    <w:name w:val="*T表格"/>
    <w:basedOn w:val="1"/>
    <w:autoRedefine/>
    <w:qFormat/>
    <w:uiPriority w:val="0"/>
    <w:pPr>
      <w:widowControl/>
      <w:spacing w:line="360" w:lineRule="auto"/>
      <w:jc w:val="left"/>
    </w:pPr>
    <w:rPr>
      <w:rFonts w:ascii="宋体" w:hAnsi="宋体" w:eastAsia="宋体" w:cs="微软雅黑"/>
      <w:bCs/>
      <w:kern w:val="0"/>
      <w:sz w:val="24"/>
      <w:szCs w:val="21"/>
      <w14:ligatures w14:val="none"/>
    </w:rPr>
  </w:style>
  <w:style w:type="paragraph" w:customStyle="1" w:styleId="92">
    <w:name w:val="！正文"/>
    <w:basedOn w:val="1"/>
    <w:autoRedefine/>
    <w:qFormat/>
    <w:uiPriority w:val="0"/>
    <w:pPr>
      <w:widowControl/>
      <w:numPr>
        <w:ilvl w:val="0"/>
        <w:numId w:val="6"/>
      </w:numPr>
      <w:spacing w:line="360" w:lineRule="auto"/>
    </w:pPr>
    <w:rPr>
      <w:rFonts w:ascii="宋体" w:hAnsi="宋体" w:eastAsia="宋体" w:cs="宋体"/>
      <w:kern w:val="0"/>
      <w:sz w:val="24"/>
      <w:szCs w:val="21"/>
      <w14:ligatures w14:val="none"/>
    </w:rPr>
  </w:style>
  <w:style w:type="character" w:customStyle="1" w:styleId="93">
    <w:name w:val="*T正文-图片 字符"/>
    <w:link w:val="90"/>
    <w:qFormat/>
    <w:uiPriority w:val="0"/>
    <w:rPr>
      <w:rFonts w:eastAsia="宋体" w:cs="宋体" w:asciiTheme="minorEastAsia" w:hAnsiTheme="minorEastAsia"/>
      <w:b/>
      <w:bCs/>
      <w:kern w:val="0"/>
      <w:sz w:val="24"/>
      <w:szCs w:val="21"/>
      <w14:ligatures w14:val="none"/>
    </w:rPr>
  </w:style>
  <w:style w:type="character" w:customStyle="1" w:styleId="94">
    <w:name w:val="批注文字 字符1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95">
    <w:name w:val="font21"/>
    <w:basedOn w:val="35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96">
    <w:name w:val="font31"/>
    <w:basedOn w:val="35"/>
    <w:qFormat/>
    <w:uiPriority w:val="0"/>
    <w:rPr>
      <w:rFonts w:hint="eastAsia" w:ascii="等线" w:hAnsi="等线" w:eastAsia="等线"/>
      <w:color w:val="000000"/>
      <w:sz w:val="21"/>
      <w:szCs w:val="21"/>
      <w:u w:val="none"/>
    </w:rPr>
  </w:style>
  <w:style w:type="paragraph" w:customStyle="1" w:styleId="97">
    <w:name w:val="正文文本 (2)"/>
    <w:basedOn w:val="1"/>
    <w:link w:val="98"/>
    <w:qFormat/>
    <w:uiPriority w:val="0"/>
    <w:pPr>
      <w:spacing w:after="220"/>
      <w:ind w:firstLine="70"/>
      <w:jc w:val="left"/>
    </w:pPr>
    <w:rPr>
      <w:rFonts w:ascii="黑体" w:hAnsi="黑体" w:eastAsia="黑体" w:cs="黑体"/>
      <w:kern w:val="0"/>
      <w:sz w:val="28"/>
      <w:szCs w:val="28"/>
      <w:lang w:val="zh-CN" w:bidi="zh-CN"/>
      <w14:ligatures w14:val="none"/>
    </w:rPr>
  </w:style>
  <w:style w:type="character" w:customStyle="1" w:styleId="98">
    <w:name w:val="正文文本 (2)_"/>
    <w:basedOn w:val="35"/>
    <w:link w:val="97"/>
    <w:qFormat/>
    <w:uiPriority w:val="0"/>
    <w:rPr>
      <w:rFonts w:ascii="黑体" w:hAnsi="黑体" w:eastAsia="黑体" w:cs="黑体"/>
      <w:kern w:val="0"/>
      <w:sz w:val="28"/>
      <w:szCs w:val="28"/>
      <w:lang w:val="zh-CN" w:bidi="zh-CN"/>
      <w14:ligatures w14:val="none"/>
    </w:rPr>
  </w:style>
  <w:style w:type="paragraph" w:customStyle="1" w:styleId="99">
    <w:name w:val="正文文本1"/>
    <w:basedOn w:val="1"/>
    <w:link w:val="100"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kern w:val="0"/>
      <w:sz w:val="20"/>
      <w:szCs w:val="20"/>
      <w:lang w:val="zh-CN" w:bidi="zh-CN"/>
      <w14:ligatures w14:val="none"/>
    </w:rPr>
  </w:style>
  <w:style w:type="character" w:customStyle="1" w:styleId="100">
    <w:name w:val="正文文本_"/>
    <w:basedOn w:val="35"/>
    <w:link w:val="99"/>
    <w:qFormat/>
    <w:uiPriority w:val="0"/>
    <w:rPr>
      <w:rFonts w:ascii="宋体" w:hAnsi="宋体" w:eastAsia="宋体" w:cs="宋体"/>
      <w:kern w:val="0"/>
      <w:sz w:val="20"/>
      <w:szCs w:val="20"/>
      <w:lang w:val="zh-CN" w:bidi="zh-CN"/>
      <w14:ligatures w14:val="none"/>
    </w:rPr>
  </w:style>
  <w:style w:type="paragraph" w:customStyle="1" w:styleId="101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C400D-981A-4D52-8BC7-5096719045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4937</Words>
  <Characters>5330</Characters>
  <Lines>464</Lines>
  <Paragraphs>551</Paragraphs>
  <TotalTime>37</TotalTime>
  <ScaleCrop>false</ScaleCrop>
  <LinksUpToDate>false</LinksUpToDate>
  <CharactersWithSpaces>5595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2024-05-08T04:20:00Z</dcterms:created>
  <dc:creator>卫 苏</dc:creator>
  <cp:lastModifiedBy>伊平川</cp:lastModifiedBy>
  <dcterms:modified xsi:type="dcterms:W3CDTF">2026-06-01T14:00:55Z</dcterms:modified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A8D2ABC438424D88BB0AE86F811183B8_12</vt:lpwstr>
  </property>
  <property fmtid="{D5CDD505-2E9C-101B-9397-08002B2CF9AE}" pid="4" name="KSOTemplateDocerSaveRecord">
    <vt:lpwstr>eyJoZGlkIjoiZjE0NTgxZmE4MzI5YjQ3YjdkMmFhOWRkMzFjMzFkYTkiLCJ1c2VySWQiOiI0MjcyNjcwOTAifQ==</vt:lpwstr>
  </property>
</Properties>
</file>